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9"/>
      </w:tblGrid>
      <w:tr w:rsidR="00432CAD" w:rsidRPr="0090766C" w14:paraId="55BC8DA6" w14:textId="77777777" w:rsidTr="002F2988">
        <w:tc>
          <w:tcPr>
            <w:tcW w:w="4697" w:type="dxa"/>
          </w:tcPr>
          <w:p w14:paraId="33816D61" w14:textId="77777777" w:rsidR="00432CAD" w:rsidRPr="00F36588" w:rsidRDefault="00432CAD" w:rsidP="002F2988">
            <w:pPr>
              <w:spacing w:before="0"/>
              <w:jc w:val="center"/>
              <w:rPr>
                <w:rFonts w:asciiTheme="minorHAnsi" w:hAnsiTheme="minorHAnsi" w:cs="Times New Roman"/>
                <w:b/>
                <w:sz w:val="20"/>
                <w:szCs w:val="20"/>
              </w:rPr>
            </w:pPr>
            <w:r w:rsidRPr="00F36588">
              <w:rPr>
                <w:rFonts w:asciiTheme="minorHAnsi" w:hAnsiTheme="minorHAnsi" w:cs="Times New Roman"/>
                <w:b/>
                <w:sz w:val="20"/>
                <w:szCs w:val="20"/>
              </w:rPr>
              <w:t>AGREEMENT ON LEASE OF NON-RESIDENTIAL PREMISES</w:t>
            </w:r>
          </w:p>
        </w:tc>
        <w:tc>
          <w:tcPr>
            <w:tcW w:w="4699" w:type="dxa"/>
          </w:tcPr>
          <w:p w14:paraId="074DFBAB" w14:textId="77777777" w:rsidR="00432CAD" w:rsidRPr="00EA72E7" w:rsidRDefault="00432CAD" w:rsidP="002F2988">
            <w:pPr>
              <w:spacing w:before="0"/>
              <w:jc w:val="center"/>
              <w:rPr>
                <w:rFonts w:asciiTheme="minorHAnsi" w:hAnsiTheme="minorHAnsi" w:cs="Times New Roman"/>
                <w:b/>
                <w:sz w:val="20"/>
                <w:szCs w:val="20"/>
                <w:lang w:val="sk-SK"/>
              </w:rPr>
            </w:pPr>
            <w:r w:rsidRPr="00EA72E7">
              <w:rPr>
                <w:rFonts w:asciiTheme="minorHAnsi" w:hAnsiTheme="minorHAnsi" w:cs="Times New Roman"/>
                <w:b/>
                <w:caps/>
                <w:sz w:val="20"/>
                <w:szCs w:val="20"/>
                <w:lang w:val="sk-SK"/>
              </w:rPr>
              <w:t>Zmluva o nájme nebytových priestorov</w:t>
            </w:r>
          </w:p>
        </w:tc>
      </w:tr>
      <w:tr w:rsidR="00432CAD" w:rsidRPr="0090766C" w14:paraId="3F751690" w14:textId="77777777" w:rsidTr="002F2988">
        <w:tc>
          <w:tcPr>
            <w:tcW w:w="4697" w:type="dxa"/>
          </w:tcPr>
          <w:p w14:paraId="3D92F62E" w14:textId="77777777" w:rsidR="00432CAD" w:rsidRPr="00F36588" w:rsidRDefault="00432CAD" w:rsidP="002F2988">
            <w:pPr>
              <w:rPr>
                <w:rFonts w:asciiTheme="minorHAnsi" w:hAnsiTheme="minorHAnsi" w:cs="Times New Roman"/>
                <w:sz w:val="20"/>
                <w:szCs w:val="20"/>
              </w:rPr>
            </w:pPr>
            <w:r w:rsidRPr="00F36588">
              <w:rPr>
                <w:rFonts w:asciiTheme="minorHAnsi" w:hAnsiTheme="minorHAnsi" w:cs="Times New Roman"/>
                <w:sz w:val="20"/>
                <w:szCs w:val="20"/>
              </w:rPr>
              <w:t>This AGREEMENT ON LEASE OF NON-RESIDENTIAL PREMISES (“</w:t>
            </w:r>
            <w:r w:rsidRPr="00F36588">
              <w:rPr>
                <w:rFonts w:asciiTheme="minorHAnsi" w:hAnsiTheme="minorHAnsi" w:cs="Times New Roman"/>
                <w:b/>
                <w:sz w:val="20"/>
                <w:szCs w:val="20"/>
              </w:rPr>
              <w:t>Agreement</w:t>
            </w:r>
            <w:r w:rsidRPr="00F36588">
              <w:rPr>
                <w:rFonts w:asciiTheme="minorHAnsi" w:hAnsiTheme="minorHAnsi" w:cs="Times New Roman"/>
                <w:sz w:val="20"/>
                <w:szCs w:val="20"/>
              </w:rPr>
              <w:t>”) is concluded in accordance with Act No. 116/1990 Coll., on Lease and Sub-Lease of Non-Residential Premises, as amended (“</w:t>
            </w:r>
            <w:r w:rsidRPr="00F36588">
              <w:rPr>
                <w:rFonts w:asciiTheme="minorHAnsi" w:hAnsiTheme="minorHAnsi" w:cs="Times New Roman"/>
                <w:b/>
                <w:sz w:val="20"/>
                <w:szCs w:val="20"/>
              </w:rPr>
              <w:t>Act</w:t>
            </w:r>
            <w:r w:rsidRPr="00F36588">
              <w:rPr>
                <w:rFonts w:asciiTheme="minorHAnsi" w:hAnsiTheme="minorHAnsi" w:cs="Times New Roman"/>
                <w:sz w:val="20"/>
                <w:szCs w:val="20"/>
              </w:rPr>
              <w:t>”) between:</w:t>
            </w:r>
          </w:p>
        </w:tc>
        <w:tc>
          <w:tcPr>
            <w:tcW w:w="4699" w:type="dxa"/>
          </w:tcPr>
          <w:p w14:paraId="49FB0ED6" w14:textId="77777777" w:rsidR="00432CAD" w:rsidRPr="00EA72E7" w:rsidRDefault="00432CAD" w:rsidP="002F2988">
            <w:pPr>
              <w:rPr>
                <w:rFonts w:asciiTheme="minorHAnsi" w:hAnsiTheme="minorHAnsi"/>
                <w:sz w:val="20"/>
                <w:szCs w:val="20"/>
                <w:lang w:val="sk-SK"/>
              </w:rPr>
            </w:pPr>
            <w:r w:rsidRPr="00EA72E7">
              <w:rPr>
                <w:rFonts w:asciiTheme="minorHAnsi" w:hAnsiTheme="minorHAnsi"/>
                <w:sz w:val="20"/>
                <w:szCs w:val="20"/>
                <w:lang w:val="sk-SK"/>
              </w:rPr>
              <w:t>Táto ZMLUVA O NÁJME NEBYTOVÝCH PRIESTOROV („</w:t>
            </w:r>
            <w:r w:rsidRPr="00EA72E7">
              <w:rPr>
                <w:rFonts w:asciiTheme="minorHAnsi" w:hAnsiTheme="minorHAnsi"/>
                <w:b/>
                <w:sz w:val="20"/>
                <w:szCs w:val="20"/>
                <w:lang w:val="sk-SK"/>
              </w:rPr>
              <w:t>Zmluva</w:t>
            </w:r>
            <w:r w:rsidRPr="00EA72E7">
              <w:rPr>
                <w:rFonts w:asciiTheme="minorHAnsi" w:hAnsiTheme="minorHAnsi"/>
                <w:sz w:val="20"/>
                <w:szCs w:val="20"/>
                <w:lang w:val="sk-SK"/>
              </w:rPr>
              <w:t>“) sa uzatvára podľa zákona č. 116/1990 Zb. o nájme a podnájme nebytových priestorov, v znení neskorších predpisov („</w:t>
            </w:r>
            <w:r w:rsidRPr="00EA72E7">
              <w:rPr>
                <w:rFonts w:asciiTheme="minorHAnsi" w:hAnsiTheme="minorHAnsi"/>
                <w:b/>
                <w:sz w:val="20"/>
                <w:szCs w:val="20"/>
                <w:lang w:val="sk-SK"/>
              </w:rPr>
              <w:t>Zákon</w:t>
            </w:r>
            <w:r w:rsidRPr="00EA72E7">
              <w:rPr>
                <w:rFonts w:asciiTheme="minorHAnsi" w:hAnsiTheme="minorHAnsi"/>
                <w:sz w:val="20"/>
                <w:szCs w:val="20"/>
                <w:lang w:val="sk-SK"/>
              </w:rPr>
              <w:t>“) medzi:</w:t>
            </w:r>
          </w:p>
        </w:tc>
      </w:tr>
      <w:tr w:rsidR="00432CAD" w:rsidRPr="0090766C" w14:paraId="61F96448" w14:textId="77777777" w:rsidTr="002F2988">
        <w:tc>
          <w:tcPr>
            <w:tcW w:w="4697" w:type="dxa"/>
          </w:tcPr>
          <w:p w14:paraId="09EF5E98" w14:textId="6CB6E3FD" w:rsidR="00432CAD" w:rsidRPr="00F36588" w:rsidRDefault="00432CAD" w:rsidP="00084D51">
            <w:pPr>
              <w:tabs>
                <w:tab w:val="left" w:pos="426"/>
              </w:tabs>
              <w:rPr>
                <w:rFonts w:asciiTheme="minorHAnsi" w:hAnsiTheme="minorHAnsi"/>
                <w:b/>
                <w:sz w:val="20"/>
                <w:szCs w:val="20"/>
              </w:rPr>
            </w:pPr>
            <w:r w:rsidRPr="00F36588">
              <w:rPr>
                <w:rFonts w:asciiTheme="minorHAnsi" w:hAnsiTheme="minorHAnsi"/>
                <w:b/>
                <w:sz w:val="20"/>
                <w:szCs w:val="20"/>
              </w:rPr>
              <w:t>(1)</w:t>
            </w:r>
            <w:r w:rsidRPr="00F36588">
              <w:rPr>
                <w:rFonts w:asciiTheme="minorHAnsi" w:hAnsiTheme="minorHAnsi"/>
                <w:b/>
                <w:sz w:val="20"/>
                <w:szCs w:val="20"/>
              </w:rPr>
              <w:tab/>
            </w:r>
            <w:r w:rsidR="00084D51">
              <w:rPr>
                <w:rFonts w:asciiTheme="minorHAnsi" w:hAnsiTheme="minorHAnsi"/>
                <w:b/>
                <w:sz w:val="20"/>
                <w:szCs w:val="20"/>
              </w:rPr>
              <w:t>……………………………….</w:t>
            </w:r>
          </w:p>
        </w:tc>
        <w:tc>
          <w:tcPr>
            <w:tcW w:w="4699" w:type="dxa"/>
          </w:tcPr>
          <w:p w14:paraId="3F0C9D40" w14:textId="20E69237" w:rsidR="00432CAD" w:rsidRPr="00EA72E7" w:rsidRDefault="00432CAD" w:rsidP="00084D51">
            <w:pPr>
              <w:tabs>
                <w:tab w:val="left" w:pos="434"/>
              </w:tabs>
              <w:rPr>
                <w:rFonts w:asciiTheme="minorHAnsi" w:hAnsiTheme="minorHAnsi"/>
                <w:b/>
                <w:sz w:val="20"/>
                <w:szCs w:val="20"/>
                <w:lang w:val="sk-SK"/>
              </w:rPr>
            </w:pPr>
            <w:r w:rsidRPr="00EA72E7">
              <w:rPr>
                <w:rFonts w:asciiTheme="minorHAnsi" w:hAnsiTheme="minorHAnsi"/>
                <w:b/>
                <w:sz w:val="20"/>
                <w:szCs w:val="20"/>
                <w:lang w:val="sk-SK"/>
              </w:rPr>
              <w:t>(1)</w:t>
            </w:r>
            <w:r w:rsidRPr="00EA72E7">
              <w:rPr>
                <w:rFonts w:asciiTheme="minorHAnsi" w:hAnsiTheme="minorHAnsi"/>
                <w:b/>
                <w:sz w:val="20"/>
                <w:szCs w:val="20"/>
                <w:lang w:val="sk-SK"/>
              </w:rPr>
              <w:tab/>
            </w:r>
            <w:r w:rsidR="00084D51">
              <w:rPr>
                <w:rFonts w:asciiTheme="minorHAnsi" w:hAnsiTheme="minorHAnsi"/>
                <w:b/>
                <w:sz w:val="20"/>
                <w:szCs w:val="20"/>
                <w:lang w:val="sk-SK"/>
              </w:rPr>
              <w:t>.....................................</w:t>
            </w:r>
          </w:p>
        </w:tc>
      </w:tr>
      <w:tr w:rsidR="00432CAD" w:rsidRPr="0090766C" w14:paraId="1CA46B0C" w14:textId="77777777" w:rsidTr="002F2988">
        <w:tc>
          <w:tcPr>
            <w:tcW w:w="4697" w:type="dxa"/>
          </w:tcPr>
          <w:p w14:paraId="37891BA9" w14:textId="0B8725EC" w:rsidR="00432CAD" w:rsidRPr="00F36588" w:rsidRDefault="00432CAD" w:rsidP="00084D51">
            <w:pPr>
              <w:tabs>
                <w:tab w:val="left" w:pos="1110"/>
              </w:tabs>
              <w:spacing w:before="0"/>
              <w:ind w:firstLine="426"/>
              <w:rPr>
                <w:rFonts w:asciiTheme="minorHAnsi" w:hAnsiTheme="minorHAnsi"/>
                <w:sz w:val="20"/>
                <w:szCs w:val="20"/>
              </w:rPr>
            </w:pPr>
            <w:r w:rsidRPr="00F36588">
              <w:rPr>
                <w:rFonts w:asciiTheme="minorHAnsi" w:hAnsiTheme="minorHAnsi"/>
                <w:sz w:val="20"/>
                <w:szCs w:val="20"/>
              </w:rPr>
              <w:t xml:space="preserve">seat: </w:t>
            </w:r>
            <w:r w:rsidR="00084D51">
              <w:rPr>
                <w:rFonts w:asciiTheme="minorHAnsi" w:hAnsiTheme="minorHAnsi"/>
                <w:sz w:val="20"/>
                <w:szCs w:val="20"/>
              </w:rPr>
              <w:t>…………………….</w:t>
            </w:r>
          </w:p>
        </w:tc>
        <w:tc>
          <w:tcPr>
            <w:tcW w:w="4699" w:type="dxa"/>
          </w:tcPr>
          <w:p w14:paraId="21F705C0" w14:textId="338E995A" w:rsidR="00432CAD" w:rsidRPr="00EA72E7" w:rsidRDefault="00432CAD" w:rsidP="002F2988">
            <w:pPr>
              <w:tabs>
                <w:tab w:val="left" w:pos="1143"/>
              </w:tabs>
              <w:spacing w:before="0"/>
              <w:ind w:firstLine="434"/>
              <w:rPr>
                <w:rFonts w:asciiTheme="minorHAnsi" w:hAnsiTheme="minorHAnsi"/>
                <w:sz w:val="20"/>
                <w:szCs w:val="20"/>
                <w:lang w:val="sk-SK"/>
              </w:rPr>
            </w:pPr>
            <w:r w:rsidRPr="00EA72E7">
              <w:rPr>
                <w:rFonts w:asciiTheme="minorHAnsi" w:hAnsiTheme="minorHAnsi"/>
                <w:sz w:val="20"/>
                <w:szCs w:val="20"/>
                <w:lang w:val="sk-SK"/>
              </w:rPr>
              <w:t xml:space="preserve">sídlo: </w:t>
            </w:r>
            <w:r w:rsidR="00084D51">
              <w:rPr>
                <w:rFonts w:asciiTheme="minorHAnsi" w:hAnsiTheme="minorHAnsi"/>
                <w:sz w:val="20"/>
                <w:szCs w:val="20"/>
              </w:rPr>
              <w:t>…………………….</w:t>
            </w:r>
          </w:p>
        </w:tc>
      </w:tr>
      <w:tr w:rsidR="00432CAD" w:rsidRPr="0090766C" w14:paraId="49BF378B" w14:textId="77777777" w:rsidTr="002F2988">
        <w:tc>
          <w:tcPr>
            <w:tcW w:w="4697" w:type="dxa"/>
          </w:tcPr>
          <w:p w14:paraId="6AAB6C18" w14:textId="27759A80" w:rsidR="00432CAD" w:rsidRPr="00F36588" w:rsidRDefault="00432CAD" w:rsidP="00084D51">
            <w:pPr>
              <w:tabs>
                <w:tab w:val="left" w:pos="1140"/>
              </w:tabs>
              <w:spacing w:before="0"/>
              <w:ind w:firstLine="426"/>
              <w:rPr>
                <w:rFonts w:asciiTheme="minorHAnsi" w:hAnsiTheme="minorHAnsi"/>
                <w:sz w:val="20"/>
                <w:szCs w:val="20"/>
              </w:rPr>
            </w:pPr>
            <w:r w:rsidRPr="00F36588">
              <w:rPr>
                <w:rFonts w:asciiTheme="minorHAnsi" w:hAnsiTheme="minorHAnsi"/>
                <w:sz w:val="20"/>
                <w:szCs w:val="20"/>
              </w:rPr>
              <w:t xml:space="preserve">Identification No.: </w:t>
            </w:r>
            <w:r w:rsidR="00084D51">
              <w:rPr>
                <w:rFonts w:asciiTheme="minorHAnsi" w:hAnsiTheme="minorHAnsi"/>
                <w:sz w:val="20"/>
                <w:szCs w:val="20"/>
              </w:rPr>
              <w:t>……………..</w:t>
            </w:r>
          </w:p>
        </w:tc>
        <w:tc>
          <w:tcPr>
            <w:tcW w:w="4699" w:type="dxa"/>
          </w:tcPr>
          <w:p w14:paraId="4D5ED286" w14:textId="0E7F5D63" w:rsidR="00432CAD" w:rsidRPr="00EA72E7" w:rsidRDefault="00432CAD" w:rsidP="002F2988">
            <w:pPr>
              <w:tabs>
                <w:tab w:val="left" w:pos="1143"/>
              </w:tabs>
              <w:spacing w:before="0"/>
              <w:ind w:firstLine="434"/>
              <w:rPr>
                <w:rFonts w:asciiTheme="minorHAnsi" w:hAnsiTheme="minorHAnsi"/>
                <w:sz w:val="20"/>
                <w:szCs w:val="20"/>
                <w:lang w:val="sk-SK"/>
              </w:rPr>
            </w:pPr>
            <w:r w:rsidRPr="00EA72E7">
              <w:rPr>
                <w:rFonts w:asciiTheme="minorHAnsi" w:hAnsiTheme="minorHAnsi"/>
                <w:sz w:val="20"/>
                <w:szCs w:val="20"/>
                <w:lang w:val="sk-SK"/>
              </w:rPr>
              <w:t xml:space="preserve">IČO: </w:t>
            </w:r>
            <w:r w:rsidR="00084D51">
              <w:rPr>
                <w:rFonts w:asciiTheme="minorHAnsi" w:hAnsiTheme="minorHAnsi"/>
                <w:sz w:val="20"/>
                <w:szCs w:val="20"/>
              </w:rPr>
              <w:t>……………..</w:t>
            </w:r>
          </w:p>
        </w:tc>
      </w:tr>
      <w:tr w:rsidR="00432CAD" w:rsidRPr="0090766C" w14:paraId="51D02B90" w14:textId="77777777" w:rsidTr="002F2988">
        <w:tc>
          <w:tcPr>
            <w:tcW w:w="4697" w:type="dxa"/>
          </w:tcPr>
          <w:p w14:paraId="47C2B9AB" w14:textId="61ED793E" w:rsidR="00432CAD" w:rsidRPr="00F36588" w:rsidRDefault="00432CAD" w:rsidP="00084D51">
            <w:pPr>
              <w:tabs>
                <w:tab w:val="left" w:pos="1140"/>
              </w:tabs>
              <w:spacing w:before="0"/>
              <w:ind w:firstLine="426"/>
              <w:rPr>
                <w:rFonts w:asciiTheme="minorHAnsi" w:hAnsiTheme="minorHAnsi"/>
                <w:sz w:val="20"/>
                <w:szCs w:val="20"/>
              </w:rPr>
            </w:pPr>
            <w:r w:rsidRPr="00F36588">
              <w:rPr>
                <w:rFonts w:asciiTheme="minorHAnsi" w:hAnsiTheme="minorHAnsi"/>
                <w:sz w:val="20"/>
                <w:szCs w:val="20"/>
              </w:rPr>
              <w:t xml:space="preserve">Tax Registration No.: </w:t>
            </w:r>
            <w:r w:rsidR="00084D51">
              <w:rPr>
                <w:rFonts w:asciiTheme="minorHAnsi" w:hAnsiTheme="minorHAnsi"/>
                <w:sz w:val="20"/>
                <w:szCs w:val="20"/>
              </w:rPr>
              <w:t>…………………</w:t>
            </w:r>
          </w:p>
        </w:tc>
        <w:tc>
          <w:tcPr>
            <w:tcW w:w="4699" w:type="dxa"/>
          </w:tcPr>
          <w:p w14:paraId="1459BDB9" w14:textId="62C6AA68" w:rsidR="00432CAD" w:rsidRPr="00EA72E7" w:rsidRDefault="00432CAD" w:rsidP="002F2988">
            <w:pPr>
              <w:tabs>
                <w:tab w:val="left" w:pos="1143"/>
              </w:tabs>
              <w:spacing w:before="0"/>
              <w:ind w:firstLine="434"/>
              <w:rPr>
                <w:rFonts w:asciiTheme="minorHAnsi" w:hAnsiTheme="minorHAnsi"/>
                <w:sz w:val="20"/>
                <w:szCs w:val="20"/>
                <w:lang w:val="sk-SK"/>
              </w:rPr>
            </w:pPr>
            <w:r w:rsidRPr="00EA72E7">
              <w:rPr>
                <w:rFonts w:asciiTheme="minorHAnsi" w:hAnsiTheme="minorHAnsi"/>
                <w:sz w:val="20"/>
                <w:szCs w:val="20"/>
                <w:lang w:val="sk-SK"/>
              </w:rPr>
              <w:t xml:space="preserve">DIČ: </w:t>
            </w:r>
            <w:r w:rsidR="00084D51">
              <w:rPr>
                <w:rFonts w:asciiTheme="minorHAnsi" w:hAnsiTheme="minorHAnsi"/>
                <w:sz w:val="20"/>
                <w:szCs w:val="20"/>
              </w:rPr>
              <w:t>…………………</w:t>
            </w:r>
          </w:p>
        </w:tc>
      </w:tr>
      <w:tr w:rsidR="00432CAD" w:rsidRPr="0090766C" w14:paraId="5676DB3A" w14:textId="77777777" w:rsidTr="002F2988">
        <w:tc>
          <w:tcPr>
            <w:tcW w:w="4697" w:type="dxa"/>
          </w:tcPr>
          <w:p w14:paraId="3A24067C" w14:textId="35AD3ACB" w:rsidR="00432CAD" w:rsidRPr="00F36588" w:rsidRDefault="00432CAD" w:rsidP="00084D51">
            <w:pPr>
              <w:tabs>
                <w:tab w:val="left" w:pos="1140"/>
              </w:tabs>
              <w:spacing w:before="0"/>
              <w:ind w:firstLine="426"/>
              <w:rPr>
                <w:rFonts w:asciiTheme="minorHAnsi" w:hAnsiTheme="minorHAnsi"/>
                <w:sz w:val="20"/>
                <w:szCs w:val="20"/>
              </w:rPr>
            </w:pPr>
            <w:r w:rsidRPr="00F36588">
              <w:rPr>
                <w:rFonts w:asciiTheme="minorHAnsi" w:hAnsiTheme="minorHAnsi"/>
                <w:sz w:val="20"/>
                <w:szCs w:val="20"/>
              </w:rPr>
              <w:t xml:space="preserve">VAT Registration No.: </w:t>
            </w:r>
            <w:r w:rsidR="00084D51">
              <w:rPr>
                <w:rFonts w:asciiTheme="minorHAnsi" w:hAnsiTheme="minorHAnsi"/>
                <w:sz w:val="20"/>
                <w:szCs w:val="20"/>
              </w:rPr>
              <w:t>………………..</w:t>
            </w:r>
          </w:p>
        </w:tc>
        <w:tc>
          <w:tcPr>
            <w:tcW w:w="4699" w:type="dxa"/>
          </w:tcPr>
          <w:p w14:paraId="13198E5A" w14:textId="0A62E654" w:rsidR="00432CAD" w:rsidRPr="00EA72E7" w:rsidRDefault="00432CAD" w:rsidP="002F2988">
            <w:pPr>
              <w:tabs>
                <w:tab w:val="left" w:pos="1143"/>
              </w:tabs>
              <w:spacing w:before="0"/>
              <w:ind w:firstLine="434"/>
              <w:rPr>
                <w:rFonts w:asciiTheme="minorHAnsi" w:hAnsiTheme="minorHAnsi"/>
                <w:sz w:val="20"/>
                <w:szCs w:val="20"/>
                <w:lang w:val="sk-SK"/>
              </w:rPr>
            </w:pPr>
            <w:r w:rsidRPr="00EA72E7">
              <w:rPr>
                <w:rFonts w:asciiTheme="minorHAnsi" w:hAnsiTheme="minorHAnsi"/>
                <w:sz w:val="20"/>
                <w:szCs w:val="20"/>
                <w:lang w:val="sk-SK"/>
              </w:rPr>
              <w:t xml:space="preserve">IČ DPH: </w:t>
            </w:r>
            <w:r w:rsidR="00084D51">
              <w:rPr>
                <w:rFonts w:asciiTheme="minorHAnsi" w:hAnsiTheme="minorHAnsi"/>
                <w:sz w:val="20"/>
                <w:szCs w:val="20"/>
              </w:rPr>
              <w:t>………………..</w:t>
            </w:r>
          </w:p>
        </w:tc>
      </w:tr>
      <w:tr w:rsidR="00432CAD" w:rsidRPr="0090766C" w14:paraId="56598370" w14:textId="77777777" w:rsidTr="002F2988">
        <w:tc>
          <w:tcPr>
            <w:tcW w:w="4697" w:type="dxa"/>
          </w:tcPr>
          <w:p w14:paraId="28C51351" w14:textId="029456AE" w:rsidR="00432CAD" w:rsidRPr="00F36588" w:rsidRDefault="00432CAD" w:rsidP="00084D51">
            <w:pPr>
              <w:tabs>
                <w:tab w:val="left" w:pos="1140"/>
              </w:tabs>
              <w:spacing w:before="0"/>
              <w:ind w:left="426"/>
              <w:rPr>
                <w:rFonts w:asciiTheme="minorHAnsi" w:hAnsiTheme="minorHAnsi"/>
                <w:sz w:val="20"/>
                <w:szCs w:val="20"/>
              </w:rPr>
            </w:pPr>
            <w:r w:rsidRPr="00F36588">
              <w:rPr>
                <w:rFonts w:asciiTheme="minorHAnsi" w:hAnsiTheme="minorHAnsi"/>
                <w:sz w:val="20"/>
                <w:szCs w:val="20"/>
              </w:rPr>
              <w:t xml:space="preserve">Registered in the Commercial Register of District Court </w:t>
            </w:r>
            <w:r w:rsidR="00084D51">
              <w:rPr>
                <w:rFonts w:asciiTheme="minorHAnsi" w:hAnsiTheme="minorHAnsi"/>
                <w:sz w:val="20"/>
                <w:szCs w:val="20"/>
              </w:rPr>
              <w:t>……</w:t>
            </w:r>
            <w:r w:rsidRPr="00F36588">
              <w:rPr>
                <w:rFonts w:asciiTheme="minorHAnsi" w:hAnsiTheme="minorHAnsi"/>
                <w:sz w:val="20"/>
                <w:szCs w:val="20"/>
              </w:rPr>
              <w:t xml:space="preserve">, Section: </w:t>
            </w:r>
            <w:r w:rsidR="00084D51">
              <w:rPr>
                <w:rFonts w:asciiTheme="minorHAnsi" w:hAnsiTheme="minorHAnsi"/>
                <w:sz w:val="20"/>
                <w:szCs w:val="20"/>
              </w:rPr>
              <w:t>….</w:t>
            </w:r>
            <w:r w:rsidRPr="00F36588">
              <w:rPr>
                <w:rFonts w:asciiTheme="minorHAnsi" w:hAnsiTheme="minorHAnsi"/>
                <w:sz w:val="20"/>
                <w:szCs w:val="20"/>
              </w:rPr>
              <w:t xml:space="preserve">, File No. </w:t>
            </w:r>
            <w:r w:rsidR="00084D51">
              <w:rPr>
                <w:rFonts w:asciiTheme="minorHAnsi" w:hAnsiTheme="minorHAnsi"/>
                <w:sz w:val="20"/>
                <w:szCs w:val="20"/>
              </w:rPr>
              <w:t>…….</w:t>
            </w:r>
          </w:p>
        </w:tc>
        <w:tc>
          <w:tcPr>
            <w:tcW w:w="4699" w:type="dxa"/>
          </w:tcPr>
          <w:p w14:paraId="2B82DCB3" w14:textId="479B2623" w:rsidR="00432CAD" w:rsidRPr="00EA72E7" w:rsidRDefault="00432CAD" w:rsidP="00084D51">
            <w:pPr>
              <w:tabs>
                <w:tab w:val="left" w:pos="1143"/>
              </w:tabs>
              <w:spacing w:before="0"/>
              <w:ind w:left="434"/>
              <w:rPr>
                <w:rFonts w:asciiTheme="minorHAnsi" w:hAnsiTheme="minorHAnsi"/>
                <w:sz w:val="20"/>
                <w:szCs w:val="20"/>
                <w:lang w:val="sk-SK"/>
              </w:rPr>
            </w:pPr>
            <w:r w:rsidRPr="00EA72E7">
              <w:rPr>
                <w:rFonts w:asciiTheme="minorHAnsi" w:hAnsiTheme="minorHAnsi"/>
                <w:sz w:val="20"/>
                <w:szCs w:val="20"/>
                <w:lang w:val="sk-SK"/>
              </w:rPr>
              <w:t xml:space="preserve">zapísaná v Obchodnom registri Okresného súdu </w:t>
            </w:r>
            <w:r w:rsidR="00084D51">
              <w:rPr>
                <w:rFonts w:asciiTheme="minorHAnsi" w:hAnsiTheme="minorHAnsi"/>
                <w:sz w:val="20"/>
                <w:szCs w:val="20"/>
                <w:lang w:val="sk-SK"/>
              </w:rPr>
              <w:t>......</w:t>
            </w:r>
            <w:r w:rsidRPr="00EA72E7">
              <w:rPr>
                <w:rFonts w:asciiTheme="minorHAnsi" w:hAnsiTheme="minorHAnsi"/>
                <w:sz w:val="20"/>
                <w:szCs w:val="20"/>
                <w:lang w:val="sk-SK"/>
              </w:rPr>
              <w:t xml:space="preserve">, oddiel: </w:t>
            </w:r>
            <w:r w:rsidR="00084D51">
              <w:rPr>
                <w:rFonts w:asciiTheme="minorHAnsi" w:hAnsiTheme="minorHAnsi"/>
                <w:sz w:val="20"/>
                <w:szCs w:val="20"/>
                <w:lang w:val="sk-SK"/>
              </w:rPr>
              <w:t>....</w:t>
            </w:r>
            <w:r w:rsidRPr="00EA72E7">
              <w:rPr>
                <w:rFonts w:asciiTheme="minorHAnsi" w:hAnsiTheme="minorHAnsi"/>
                <w:sz w:val="20"/>
                <w:szCs w:val="20"/>
                <w:lang w:val="sk-SK"/>
              </w:rPr>
              <w:t xml:space="preserve">, vložka č. </w:t>
            </w:r>
            <w:r w:rsidR="00084D51">
              <w:rPr>
                <w:rFonts w:asciiTheme="minorHAnsi" w:hAnsiTheme="minorHAnsi"/>
                <w:sz w:val="20"/>
                <w:szCs w:val="20"/>
                <w:lang w:val="sk-SK"/>
              </w:rPr>
              <w:t>......</w:t>
            </w:r>
          </w:p>
        </w:tc>
      </w:tr>
      <w:tr w:rsidR="00432CAD" w:rsidRPr="0090766C" w14:paraId="3D130DF2" w14:textId="77777777" w:rsidTr="002F2988">
        <w:tc>
          <w:tcPr>
            <w:tcW w:w="4697" w:type="dxa"/>
          </w:tcPr>
          <w:p w14:paraId="4314334F" w14:textId="6C1E168D" w:rsidR="00432CAD" w:rsidRPr="00F36588" w:rsidRDefault="007E1FF5" w:rsidP="00084D51">
            <w:pPr>
              <w:tabs>
                <w:tab w:val="left" w:pos="1843"/>
              </w:tabs>
              <w:spacing w:before="0"/>
              <w:ind w:left="426"/>
              <w:jc w:val="left"/>
              <w:rPr>
                <w:rFonts w:asciiTheme="minorHAnsi" w:hAnsiTheme="minorHAnsi"/>
                <w:sz w:val="20"/>
                <w:szCs w:val="20"/>
              </w:rPr>
            </w:pPr>
            <w:r>
              <w:rPr>
                <w:rFonts w:asciiTheme="minorHAnsi" w:hAnsiTheme="minorHAnsi"/>
                <w:sz w:val="20"/>
                <w:szCs w:val="20"/>
              </w:rPr>
              <w:t>R</w:t>
            </w:r>
            <w:r w:rsidR="002E48EC">
              <w:rPr>
                <w:rFonts w:asciiTheme="minorHAnsi" w:hAnsiTheme="minorHAnsi"/>
                <w:sz w:val="20"/>
                <w:szCs w:val="20"/>
              </w:rPr>
              <w:t>epresented by</w:t>
            </w:r>
            <w:r w:rsidR="00432CAD" w:rsidRPr="00F36588">
              <w:rPr>
                <w:rFonts w:asciiTheme="minorHAnsi" w:hAnsiTheme="minorHAnsi"/>
                <w:sz w:val="20"/>
                <w:szCs w:val="20"/>
              </w:rPr>
              <w:t>:</w:t>
            </w:r>
            <w:r w:rsidR="00432CAD" w:rsidRPr="00F36588">
              <w:rPr>
                <w:rFonts w:asciiTheme="minorHAnsi" w:hAnsiTheme="minorHAnsi"/>
                <w:sz w:val="20"/>
                <w:szCs w:val="20"/>
              </w:rPr>
              <w:br/>
            </w:r>
            <w:r w:rsidR="00084D51">
              <w:rPr>
                <w:rFonts w:asciiTheme="minorHAnsi" w:hAnsiTheme="minorHAnsi"/>
                <w:sz w:val="20"/>
                <w:szCs w:val="20"/>
                <w:lang w:val="sk-SK"/>
              </w:rPr>
              <w:t>......................</w:t>
            </w:r>
          </w:p>
        </w:tc>
        <w:tc>
          <w:tcPr>
            <w:tcW w:w="4699" w:type="dxa"/>
          </w:tcPr>
          <w:p w14:paraId="73806E8B" w14:textId="7F54FA1F" w:rsidR="007E1FF5" w:rsidRDefault="007E1FF5" w:rsidP="007C5F65">
            <w:pPr>
              <w:tabs>
                <w:tab w:val="left" w:pos="1143"/>
              </w:tabs>
              <w:spacing w:before="0"/>
              <w:ind w:left="434"/>
              <w:jc w:val="left"/>
              <w:rPr>
                <w:rFonts w:asciiTheme="minorHAnsi" w:hAnsiTheme="minorHAnsi"/>
                <w:sz w:val="20"/>
                <w:szCs w:val="20"/>
                <w:lang w:val="sk-SK"/>
              </w:rPr>
            </w:pPr>
            <w:r>
              <w:rPr>
                <w:rFonts w:asciiTheme="minorHAnsi" w:hAnsiTheme="minorHAnsi"/>
                <w:sz w:val="20"/>
                <w:szCs w:val="20"/>
                <w:lang w:val="sk-SK"/>
              </w:rPr>
              <w:t>z</w:t>
            </w:r>
            <w:r w:rsidR="00432CAD">
              <w:rPr>
                <w:rFonts w:asciiTheme="minorHAnsi" w:hAnsiTheme="minorHAnsi"/>
                <w:sz w:val="20"/>
                <w:szCs w:val="20"/>
                <w:lang w:val="sk-SK"/>
              </w:rPr>
              <w:t>astúpená</w:t>
            </w:r>
            <w:r>
              <w:rPr>
                <w:rFonts w:asciiTheme="minorHAnsi" w:hAnsiTheme="minorHAnsi"/>
                <w:sz w:val="20"/>
                <w:szCs w:val="20"/>
                <w:lang w:val="sk-SK"/>
              </w:rPr>
              <w:t>:</w:t>
            </w:r>
          </w:p>
          <w:p w14:paraId="79012C72" w14:textId="745FCA66" w:rsidR="00432CAD" w:rsidRPr="00EA72E7" w:rsidRDefault="00084D51" w:rsidP="000E761A">
            <w:pPr>
              <w:tabs>
                <w:tab w:val="left" w:pos="1143"/>
              </w:tabs>
              <w:spacing w:before="0"/>
              <w:ind w:left="434"/>
              <w:jc w:val="left"/>
              <w:rPr>
                <w:rFonts w:asciiTheme="minorHAnsi" w:hAnsiTheme="minorHAnsi"/>
                <w:sz w:val="20"/>
                <w:szCs w:val="20"/>
                <w:lang w:val="sk-SK"/>
              </w:rPr>
            </w:pPr>
            <w:r>
              <w:rPr>
                <w:rFonts w:asciiTheme="minorHAnsi" w:hAnsiTheme="minorHAnsi"/>
                <w:sz w:val="20"/>
                <w:szCs w:val="20"/>
                <w:lang w:val="sk-SK"/>
              </w:rPr>
              <w:t>......................</w:t>
            </w:r>
          </w:p>
        </w:tc>
      </w:tr>
      <w:tr w:rsidR="00432CAD" w:rsidRPr="0090766C" w14:paraId="157B7D89" w14:textId="77777777" w:rsidTr="002F2988">
        <w:tc>
          <w:tcPr>
            <w:tcW w:w="4697" w:type="dxa"/>
          </w:tcPr>
          <w:p w14:paraId="1F0AD28F" w14:textId="77777777" w:rsidR="00432CAD" w:rsidRPr="00F36588" w:rsidRDefault="00432CAD" w:rsidP="002F2988">
            <w:pPr>
              <w:tabs>
                <w:tab w:val="left" w:pos="1843"/>
              </w:tabs>
              <w:jc w:val="left"/>
              <w:rPr>
                <w:rFonts w:asciiTheme="minorHAnsi" w:hAnsiTheme="minorHAnsi"/>
                <w:sz w:val="20"/>
                <w:szCs w:val="20"/>
              </w:rPr>
            </w:pPr>
            <w:r w:rsidRPr="00F36588">
              <w:rPr>
                <w:rFonts w:asciiTheme="minorHAnsi" w:hAnsiTheme="minorHAnsi"/>
                <w:sz w:val="20"/>
                <w:szCs w:val="20"/>
              </w:rPr>
              <w:t>(“</w:t>
            </w:r>
            <w:r w:rsidRPr="00F36588">
              <w:rPr>
                <w:rFonts w:asciiTheme="minorHAnsi" w:hAnsiTheme="minorHAnsi"/>
                <w:b/>
                <w:sz w:val="20"/>
                <w:szCs w:val="20"/>
              </w:rPr>
              <w:t>Lessor</w:t>
            </w:r>
            <w:r w:rsidRPr="00F36588">
              <w:rPr>
                <w:rFonts w:asciiTheme="minorHAnsi" w:hAnsiTheme="minorHAnsi"/>
                <w:sz w:val="20"/>
                <w:szCs w:val="20"/>
              </w:rPr>
              <w:t>”);</w:t>
            </w:r>
          </w:p>
        </w:tc>
        <w:tc>
          <w:tcPr>
            <w:tcW w:w="4699" w:type="dxa"/>
          </w:tcPr>
          <w:p w14:paraId="7D3C8306" w14:textId="77777777" w:rsidR="00432CAD" w:rsidRPr="00EA72E7" w:rsidRDefault="00432CAD" w:rsidP="002F2988">
            <w:pPr>
              <w:tabs>
                <w:tab w:val="left" w:pos="1143"/>
              </w:tabs>
              <w:jc w:val="left"/>
              <w:rPr>
                <w:rFonts w:asciiTheme="minorHAnsi" w:hAnsiTheme="minorHAnsi"/>
                <w:sz w:val="20"/>
                <w:szCs w:val="20"/>
                <w:lang w:val="sk-SK"/>
              </w:rPr>
            </w:pPr>
            <w:r w:rsidRPr="00EA72E7">
              <w:rPr>
                <w:rFonts w:asciiTheme="minorHAnsi" w:hAnsiTheme="minorHAnsi"/>
                <w:sz w:val="20"/>
                <w:szCs w:val="20"/>
                <w:lang w:val="sk-SK"/>
              </w:rPr>
              <w:t>(„</w:t>
            </w:r>
            <w:r w:rsidRPr="00EA72E7">
              <w:rPr>
                <w:rFonts w:asciiTheme="minorHAnsi" w:hAnsiTheme="minorHAnsi"/>
                <w:b/>
                <w:sz w:val="20"/>
                <w:szCs w:val="20"/>
                <w:lang w:val="sk-SK"/>
              </w:rPr>
              <w:t>Prenajímateľ</w:t>
            </w:r>
            <w:r w:rsidRPr="00EA72E7">
              <w:rPr>
                <w:rFonts w:asciiTheme="minorHAnsi" w:hAnsiTheme="minorHAnsi"/>
                <w:sz w:val="20"/>
                <w:szCs w:val="20"/>
                <w:lang w:val="sk-SK"/>
              </w:rPr>
              <w:t>“);</w:t>
            </w:r>
          </w:p>
        </w:tc>
      </w:tr>
      <w:tr w:rsidR="00432CAD" w:rsidRPr="0090766C" w14:paraId="203048D0" w14:textId="77777777" w:rsidTr="002F2988">
        <w:tc>
          <w:tcPr>
            <w:tcW w:w="4697" w:type="dxa"/>
          </w:tcPr>
          <w:p w14:paraId="3D8BAA17" w14:textId="77777777" w:rsidR="00432CAD" w:rsidRPr="00F36588" w:rsidRDefault="00432CAD" w:rsidP="002F2988">
            <w:pPr>
              <w:tabs>
                <w:tab w:val="left" w:pos="1843"/>
              </w:tabs>
              <w:jc w:val="left"/>
              <w:rPr>
                <w:rFonts w:asciiTheme="minorHAnsi" w:hAnsiTheme="minorHAnsi"/>
                <w:sz w:val="20"/>
                <w:szCs w:val="20"/>
              </w:rPr>
            </w:pPr>
            <w:r w:rsidRPr="00F36588">
              <w:rPr>
                <w:rFonts w:asciiTheme="minorHAnsi" w:hAnsiTheme="minorHAnsi"/>
                <w:sz w:val="20"/>
                <w:szCs w:val="20"/>
              </w:rPr>
              <w:t>and</w:t>
            </w:r>
          </w:p>
        </w:tc>
        <w:tc>
          <w:tcPr>
            <w:tcW w:w="4699" w:type="dxa"/>
          </w:tcPr>
          <w:p w14:paraId="32090C79" w14:textId="77777777" w:rsidR="00432CAD" w:rsidRPr="00EA72E7" w:rsidRDefault="00432CAD" w:rsidP="002F2988">
            <w:pPr>
              <w:tabs>
                <w:tab w:val="left" w:pos="1143"/>
              </w:tabs>
              <w:jc w:val="left"/>
              <w:rPr>
                <w:rFonts w:asciiTheme="minorHAnsi" w:hAnsiTheme="minorHAnsi"/>
                <w:sz w:val="20"/>
                <w:szCs w:val="20"/>
                <w:lang w:val="sk-SK"/>
              </w:rPr>
            </w:pPr>
            <w:r w:rsidRPr="00EA72E7">
              <w:rPr>
                <w:rFonts w:asciiTheme="minorHAnsi" w:hAnsiTheme="minorHAnsi"/>
                <w:sz w:val="20"/>
                <w:szCs w:val="20"/>
                <w:lang w:val="sk-SK"/>
              </w:rPr>
              <w:t>a</w:t>
            </w:r>
          </w:p>
        </w:tc>
      </w:tr>
      <w:tr w:rsidR="00432CAD" w:rsidRPr="00C5341A" w14:paraId="153BAA1C" w14:textId="77777777" w:rsidTr="002F2988">
        <w:tc>
          <w:tcPr>
            <w:tcW w:w="4697" w:type="dxa"/>
          </w:tcPr>
          <w:p w14:paraId="776618A5" w14:textId="5FE8979B" w:rsidR="00432CAD" w:rsidRPr="00F36588" w:rsidRDefault="00432CAD" w:rsidP="000A11CC">
            <w:pPr>
              <w:tabs>
                <w:tab w:val="left" w:pos="426"/>
              </w:tabs>
              <w:rPr>
                <w:rFonts w:asciiTheme="minorHAnsi" w:hAnsiTheme="minorHAnsi"/>
                <w:b/>
                <w:sz w:val="20"/>
                <w:szCs w:val="20"/>
              </w:rPr>
            </w:pPr>
            <w:r w:rsidRPr="00F36588">
              <w:rPr>
                <w:rFonts w:asciiTheme="minorHAnsi" w:hAnsiTheme="minorHAnsi"/>
                <w:b/>
                <w:sz w:val="20"/>
                <w:szCs w:val="20"/>
              </w:rPr>
              <w:t>(2)</w:t>
            </w:r>
            <w:r w:rsidRPr="00F36588">
              <w:rPr>
                <w:rFonts w:asciiTheme="minorHAnsi" w:hAnsiTheme="minorHAnsi"/>
                <w:b/>
                <w:sz w:val="20"/>
                <w:szCs w:val="20"/>
              </w:rPr>
              <w:tab/>
            </w:r>
            <w:r w:rsidR="0026514F">
              <w:rPr>
                <w:rFonts w:asciiTheme="minorHAnsi" w:hAnsiTheme="minorHAnsi"/>
                <w:b/>
                <w:sz w:val="20"/>
                <w:szCs w:val="20"/>
                <w:lang w:val="sk-SK"/>
              </w:rPr>
              <w:t>Rosatom Central Europe s.r.o.</w:t>
            </w:r>
          </w:p>
        </w:tc>
        <w:tc>
          <w:tcPr>
            <w:tcW w:w="4699" w:type="dxa"/>
          </w:tcPr>
          <w:p w14:paraId="22CC5DEA" w14:textId="790D07B9" w:rsidR="00432CAD" w:rsidRPr="00EA72E7" w:rsidRDefault="00432CAD" w:rsidP="0026514F">
            <w:pPr>
              <w:tabs>
                <w:tab w:val="left" w:pos="434"/>
              </w:tabs>
              <w:rPr>
                <w:rFonts w:asciiTheme="minorHAnsi" w:hAnsiTheme="minorHAnsi"/>
                <w:b/>
                <w:sz w:val="20"/>
                <w:szCs w:val="20"/>
                <w:lang w:val="sk-SK"/>
              </w:rPr>
            </w:pPr>
            <w:r w:rsidRPr="00EA72E7">
              <w:rPr>
                <w:rFonts w:asciiTheme="minorHAnsi" w:hAnsiTheme="minorHAnsi"/>
                <w:b/>
                <w:sz w:val="20"/>
                <w:szCs w:val="20"/>
                <w:lang w:val="sk-SK"/>
              </w:rPr>
              <w:t>(2)</w:t>
            </w:r>
            <w:r w:rsidRPr="00EA72E7">
              <w:rPr>
                <w:rFonts w:asciiTheme="minorHAnsi" w:hAnsiTheme="minorHAnsi"/>
                <w:b/>
                <w:sz w:val="20"/>
                <w:szCs w:val="20"/>
                <w:lang w:val="sk-SK"/>
              </w:rPr>
              <w:tab/>
            </w:r>
            <w:r w:rsidR="0026514F">
              <w:rPr>
                <w:rFonts w:asciiTheme="minorHAnsi" w:hAnsiTheme="minorHAnsi"/>
                <w:b/>
                <w:sz w:val="20"/>
                <w:szCs w:val="20"/>
                <w:lang w:val="sk-SK"/>
              </w:rPr>
              <w:t>Rosatom Central Europe s.r.o.</w:t>
            </w:r>
          </w:p>
        </w:tc>
      </w:tr>
      <w:tr w:rsidR="00432CAD" w:rsidRPr="0090766C" w14:paraId="1FF38C7B" w14:textId="77777777" w:rsidTr="002F2988">
        <w:tc>
          <w:tcPr>
            <w:tcW w:w="4697" w:type="dxa"/>
          </w:tcPr>
          <w:p w14:paraId="0BE72930" w14:textId="77777777" w:rsidR="002E74FA" w:rsidRDefault="00432CAD" w:rsidP="002E74FA">
            <w:pPr>
              <w:tabs>
                <w:tab w:val="left" w:pos="459"/>
              </w:tabs>
              <w:spacing w:before="0"/>
              <w:ind w:left="459" w:hanging="33"/>
              <w:rPr>
                <w:rFonts w:asciiTheme="minorHAnsi" w:hAnsiTheme="minorHAnsi"/>
                <w:sz w:val="20"/>
                <w:szCs w:val="20"/>
              </w:rPr>
            </w:pPr>
            <w:r w:rsidRPr="002E74FA">
              <w:rPr>
                <w:rFonts w:asciiTheme="minorHAnsi" w:hAnsiTheme="minorHAnsi"/>
                <w:sz w:val="20"/>
                <w:szCs w:val="20"/>
              </w:rPr>
              <w:t xml:space="preserve">seat: </w:t>
            </w:r>
            <w:r w:rsidR="0026514F" w:rsidRPr="002E74FA">
              <w:rPr>
                <w:rFonts w:asciiTheme="minorHAnsi" w:hAnsiTheme="minorHAnsi"/>
                <w:sz w:val="20"/>
                <w:szCs w:val="20"/>
              </w:rPr>
              <w:t xml:space="preserve">Antala Staška 2027/79, </w:t>
            </w:r>
            <w:r w:rsidR="002E74FA" w:rsidRPr="002E74FA">
              <w:rPr>
                <w:rFonts w:asciiTheme="minorHAnsi" w:hAnsiTheme="minorHAnsi"/>
                <w:sz w:val="20"/>
                <w:szCs w:val="20"/>
              </w:rPr>
              <w:t xml:space="preserve">Krč, </w:t>
            </w:r>
            <w:r w:rsidR="0026514F" w:rsidRPr="002E74FA">
              <w:rPr>
                <w:rFonts w:asciiTheme="minorHAnsi" w:hAnsiTheme="minorHAnsi"/>
                <w:sz w:val="20"/>
                <w:szCs w:val="20"/>
              </w:rPr>
              <w:t>140 00 Praha</w:t>
            </w:r>
            <w:r w:rsidR="008E6BB9" w:rsidRPr="002E74FA">
              <w:rPr>
                <w:rFonts w:asciiTheme="minorHAnsi" w:hAnsiTheme="minorHAnsi"/>
                <w:sz w:val="20"/>
                <w:szCs w:val="20"/>
              </w:rPr>
              <w:t xml:space="preserve"> 4</w:t>
            </w:r>
            <w:r w:rsidR="002E74FA" w:rsidRPr="002E74FA">
              <w:rPr>
                <w:rFonts w:asciiTheme="minorHAnsi" w:hAnsiTheme="minorHAnsi"/>
                <w:sz w:val="20"/>
                <w:szCs w:val="20"/>
              </w:rPr>
              <w:t>,</w:t>
            </w:r>
          </w:p>
          <w:p w14:paraId="2CF9AE51" w14:textId="7BC421AC" w:rsidR="00432CAD" w:rsidRPr="002E74FA" w:rsidRDefault="002E74FA" w:rsidP="002E74FA">
            <w:pPr>
              <w:tabs>
                <w:tab w:val="left" w:pos="459"/>
              </w:tabs>
              <w:spacing w:before="0"/>
              <w:ind w:left="459" w:hanging="33"/>
              <w:rPr>
                <w:rFonts w:asciiTheme="minorHAnsi" w:hAnsiTheme="minorHAnsi"/>
                <w:sz w:val="20"/>
                <w:szCs w:val="20"/>
              </w:rPr>
            </w:pPr>
            <w:r w:rsidRPr="002E74FA">
              <w:rPr>
                <w:rFonts w:asciiTheme="minorHAnsi" w:hAnsiTheme="minorHAnsi"/>
                <w:sz w:val="20"/>
                <w:szCs w:val="20"/>
              </w:rPr>
              <w:t>Czech</w:t>
            </w:r>
            <w:r w:rsidR="0026514F" w:rsidRPr="002E74FA">
              <w:rPr>
                <w:rFonts w:asciiTheme="minorHAnsi" w:hAnsiTheme="minorHAnsi"/>
                <w:sz w:val="20"/>
                <w:szCs w:val="20"/>
              </w:rPr>
              <w:t xml:space="preserve"> </w:t>
            </w:r>
            <w:r w:rsidRPr="002E74FA">
              <w:rPr>
                <w:rFonts w:asciiTheme="minorHAnsi" w:hAnsiTheme="minorHAnsi"/>
                <w:sz w:val="20"/>
                <w:szCs w:val="20"/>
              </w:rPr>
              <w:t>Republic</w:t>
            </w:r>
          </w:p>
        </w:tc>
        <w:tc>
          <w:tcPr>
            <w:tcW w:w="4699" w:type="dxa"/>
          </w:tcPr>
          <w:p w14:paraId="01A13178" w14:textId="36B8F8EF" w:rsidR="00432CAD" w:rsidRPr="00EA72E7" w:rsidRDefault="00432CAD" w:rsidP="008E6BB9">
            <w:pPr>
              <w:tabs>
                <w:tab w:val="left" w:pos="440"/>
              </w:tabs>
              <w:spacing w:before="0"/>
              <w:ind w:left="440" w:hanging="6"/>
              <w:rPr>
                <w:rFonts w:asciiTheme="minorHAnsi" w:hAnsiTheme="minorHAnsi"/>
                <w:sz w:val="20"/>
                <w:szCs w:val="20"/>
                <w:lang w:val="sk-SK"/>
              </w:rPr>
            </w:pPr>
            <w:r w:rsidRPr="00EA72E7">
              <w:rPr>
                <w:rFonts w:asciiTheme="minorHAnsi" w:hAnsiTheme="minorHAnsi"/>
                <w:sz w:val="20"/>
                <w:szCs w:val="20"/>
                <w:lang w:val="sk-SK"/>
              </w:rPr>
              <w:t xml:space="preserve">sídlo: </w:t>
            </w:r>
            <w:r w:rsidR="0026514F">
              <w:rPr>
                <w:rFonts w:asciiTheme="minorHAnsi" w:hAnsiTheme="minorHAnsi"/>
                <w:sz w:val="20"/>
                <w:szCs w:val="20"/>
                <w:lang w:val="sk-SK"/>
              </w:rPr>
              <w:t xml:space="preserve">Antala Staška 2027/79, </w:t>
            </w:r>
            <w:r w:rsidR="002E74FA">
              <w:rPr>
                <w:rFonts w:asciiTheme="minorHAnsi" w:hAnsiTheme="minorHAnsi"/>
                <w:sz w:val="20"/>
                <w:szCs w:val="20"/>
                <w:lang w:val="sk-SK"/>
              </w:rPr>
              <w:t xml:space="preserve">Krč, </w:t>
            </w:r>
            <w:r w:rsidR="0026514F">
              <w:rPr>
                <w:rFonts w:asciiTheme="minorHAnsi" w:hAnsiTheme="minorHAnsi"/>
                <w:sz w:val="20"/>
                <w:szCs w:val="20"/>
                <w:lang w:val="sk-SK"/>
              </w:rPr>
              <w:t>140 00 Praha</w:t>
            </w:r>
            <w:r w:rsidR="008E6BB9">
              <w:rPr>
                <w:rFonts w:asciiTheme="minorHAnsi" w:hAnsiTheme="minorHAnsi"/>
                <w:sz w:val="20"/>
                <w:szCs w:val="20"/>
                <w:lang w:val="sk-SK"/>
              </w:rPr>
              <w:t xml:space="preserve"> 4</w:t>
            </w:r>
            <w:r w:rsidR="0026514F">
              <w:rPr>
                <w:rFonts w:asciiTheme="minorHAnsi" w:hAnsiTheme="minorHAnsi"/>
                <w:sz w:val="20"/>
                <w:szCs w:val="20"/>
                <w:lang w:val="sk-SK"/>
              </w:rPr>
              <w:t>, Česká republika</w:t>
            </w:r>
          </w:p>
        </w:tc>
      </w:tr>
      <w:tr w:rsidR="00432CAD" w:rsidRPr="0090766C" w14:paraId="1DB49079" w14:textId="68DF48E2" w:rsidTr="002F2988">
        <w:tc>
          <w:tcPr>
            <w:tcW w:w="4697" w:type="dxa"/>
          </w:tcPr>
          <w:p w14:paraId="5D6113E3" w14:textId="6C621997" w:rsidR="00432CAD" w:rsidRPr="002E74FA" w:rsidRDefault="00432CAD" w:rsidP="00850245">
            <w:pPr>
              <w:tabs>
                <w:tab w:val="left" w:pos="1140"/>
              </w:tabs>
              <w:spacing w:before="0"/>
              <w:ind w:firstLine="426"/>
              <w:rPr>
                <w:rFonts w:asciiTheme="minorHAnsi" w:hAnsiTheme="minorHAnsi"/>
                <w:sz w:val="20"/>
                <w:szCs w:val="20"/>
              </w:rPr>
            </w:pPr>
            <w:r w:rsidRPr="002E74FA">
              <w:rPr>
                <w:rFonts w:asciiTheme="minorHAnsi" w:hAnsiTheme="minorHAnsi"/>
                <w:sz w:val="20"/>
                <w:szCs w:val="20"/>
              </w:rPr>
              <w:t xml:space="preserve">Identification No.: </w:t>
            </w:r>
            <w:r w:rsidR="008E6BB9" w:rsidRPr="002E74FA">
              <w:rPr>
                <w:rFonts w:asciiTheme="minorHAnsi" w:hAnsiTheme="minorHAnsi"/>
                <w:sz w:val="20"/>
                <w:szCs w:val="20"/>
              </w:rPr>
              <w:t>030 33 716</w:t>
            </w:r>
          </w:p>
        </w:tc>
        <w:tc>
          <w:tcPr>
            <w:tcW w:w="4699" w:type="dxa"/>
          </w:tcPr>
          <w:p w14:paraId="7044E290" w14:textId="0A7C9B89" w:rsidR="00432CAD" w:rsidRPr="00EA72E7" w:rsidRDefault="00432CAD" w:rsidP="008E6BB9">
            <w:pPr>
              <w:tabs>
                <w:tab w:val="left" w:pos="1143"/>
              </w:tabs>
              <w:spacing w:before="0"/>
              <w:ind w:firstLine="434"/>
              <w:rPr>
                <w:rFonts w:asciiTheme="minorHAnsi" w:hAnsiTheme="minorHAnsi"/>
                <w:sz w:val="20"/>
                <w:szCs w:val="20"/>
                <w:lang w:val="sk-SK"/>
              </w:rPr>
            </w:pPr>
            <w:r w:rsidRPr="00EA72E7">
              <w:rPr>
                <w:rFonts w:asciiTheme="minorHAnsi" w:hAnsiTheme="minorHAnsi"/>
                <w:sz w:val="20"/>
                <w:szCs w:val="20"/>
                <w:lang w:val="sk-SK"/>
              </w:rPr>
              <w:t xml:space="preserve">IČO: </w:t>
            </w:r>
            <w:r w:rsidR="008E6BB9">
              <w:rPr>
                <w:rFonts w:asciiTheme="minorHAnsi" w:hAnsiTheme="minorHAnsi"/>
                <w:sz w:val="20"/>
                <w:szCs w:val="20"/>
                <w:lang w:val="sk-SK"/>
              </w:rPr>
              <w:t>030 33 716</w:t>
            </w:r>
          </w:p>
        </w:tc>
      </w:tr>
      <w:tr w:rsidR="00432CAD" w:rsidRPr="0090766C" w14:paraId="4BDAF6A6" w14:textId="77777777" w:rsidTr="002F2988">
        <w:tc>
          <w:tcPr>
            <w:tcW w:w="4697" w:type="dxa"/>
          </w:tcPr>
          <w:p w14:paraId="331723A3" w14:textId="69679CFA" w:rsidR="00432CAD" w:rsidRPr="002E74FA" w:rsidRDefault="00432CAD" w:rsidP="002F2988">
            <w:pPr>
              <w:tabs>
                <w:tab w:val="left" w:pos="1140"/>
              </w:tabs>
              <w:spacing w:before="0"/>
              <w:ind w:firstLine="426"/>
              <w:rPr>
                <w:rFonts w:asciiTheme="minorHAnsi" w:hAnsiTheme="minorHAnsi"/>
                <w:sz w:val="20"/>
                <w:szCs w:val="20"/>
              </w:rPr>
            </w:pPr>
            <w:r w:rsidRPr="002E74FA">
              <w:rPr>
                <w:rFonts w:asciiTheme="minorHAnsi" w:hAnsiTheme="minorHAnsi"/>
                <w:sz w:val="20"/>
                <w:szCs w:val="20"/>
              </w:rPr>
              <w:t xml:space="preserve">Tax Registration No.: </w:t>
            </w:r>
            <w:r w:rsidR="0026514F" w:rsidRPr="002E74FA">
              <w:rPr>
                <w:rFonts w:asciiTheme="minorHAnsi" w:hAnsiTheme="minorHAnsi"/>
                <w:sz w:val="20"/>
                <w:szCs w:val="20"/>
              </w:rPr>
              <w:t>CZ03033716</w:t>
            </w:r>
          </w:p>
        </w:tc>
        <w:tc>
          <w:tcPr>
            <w:tcW w:w="4699" w:type="dxa"/>
          </w:tcPr>
          <w:p w14:paraId="19BEE81A" w14:textId="46FE043A" w:rsidR="00432CAD" w:rsidRPr="00EA72E7" w:rsidRDefault="00432CAD" w:rsidP="008E6BB9">
            <w:pPr>
              <w:tabs>
                <w:tab w:val="left" w:pos="1143"/>
              </w:tabs>
              <w:spacing w:before="0"/>
              <w:ind w:firstLine="434"/>
              <w:rPr>
                <w:rFonts w:asciiTheme="minorHAnsi" w:hAnsiTheme="minorHAnsi"/>
                <w:sz w:val="20"/>
                <w:szCs w:val="20"/>
                <w:lang w:val="sk-SK"/>
              </w:rPr>
            </w:pPr>
            <w:r w:rsidRPr="00EA72E7">
              <w:rPr>
                <w:rFonts w:asciiTheme="minorHAnsi" w:hAnsiTheme="minorHAnsi"/>
                <w:sz w:val="20"/>
                <w:szCs w:val="20"/>
                <w:lang w:val="sk-SK"/>
              </w:rPr>
              <w:t xml:space="preserve">DIČ: </w:t>
            </w:r>
            <w:r w:rsidR="0026514F">
              <w:rPr>
                <w:rFonts w:asciiTheme="minorHAnsi" w:hAnsiTheme="minorHAnsi"/>
                <w:sz w:val="20"/>
                <w:szCs w:val="20"/>
                <w:lang w:val="sk-SK"/>
              </w:rPr>
              <w:t>CZ03033716</w:t>
            </w:r>
          </w:p>
        </w:tc>
      </w:tr>
      <w:tr w:rsidR="00432CAD" w:rsidRPr="0090766C" w14:paraId="43107A79" w14:textId="77777777" w:rsidTr="002F2988">
        <w:tc>
          <w:tcPr>
            <w:tcW w:w="4697" w:type="dxa"/>
          </w:tcPr>
          <w:p w14:paraId="5438DC61" w14:textId="76E6D459" w:rsidR="00432CAD" w:rsidRPr="00F36588" w:rsidRDefault="00FF2034" w:rsidP="008E6BB9">
            <w:pPr>
              <w:tabs>
                <w:tab w:val="left" w:pos="1140"/>
              </w:tabs>
              <w:spacing w:before="0"/>
              <w:ind w:left="426"/>
              <w:rPr>
                <w:rFonts w:asciiTheme="minorHAnsi" w:hAnsiTheme="minorHAnsi"/>
                <w:sz w:val="20"/>
                <w:szCs w:val="20"/>
              </w:rPr>
            </w:pPr>
            <w:r w:rsidRPr="00F36588">
              <w:rPr>
                <w:rFonts w:asciiTheme="minorHAnsi" w:hAnsiTheme="minorHAnsi"/>
                <w:sz w:val="20"/>
                <w:szCs w:val="20"/>
              </w:rPr>
              <w:t xml:space="preserve">Registered in the Commercial Register of </w:t>
            </w:r>
            <w:r w:rsidR="008E6BB9">
              <w:rPr>
                <w:rFonts w:asciiTheme="minorHAnsi" w:hAnsiTheme="minorHAnsi"/>
                <w:sz w:val="20"/>
                <w:szCs w:val="20"/>
              </w:rPr>
              <w:t>Municipal</w:t>
            </w:r>
            <w:r w:rsidR="008E6BB9" w:rsidRPr="00F36588">
              <w:rPr>
                <w:rFonts w:asciiTheme="minorHAnsi" w:hAnsiTheme="minorHAnsi"/>
                <w:sz w:val="20"/>
                <w:szCs w:val="20"/>
              </w:rPr>
              <w:t xml:space="preserve"> </w:t>
            </w:r>
            <w:r w:rsidRPr="00F36588">
              <w:rPr>
                <w:rFonts w:asciiTheme="minorHAnsi" w:hAnsiTheme="minorHAnsi"/>
                <w:sz w:val="20"/>
                <w:szCs w:val="20"/>
              </w:rPr>
              <w:t xml:space="preserve">Court </w:t>
            </w:r>
            <w:r w:rsidR="008E6BB9">
              <w:rPr>
                <w:rFonts w:asciiTheme="minorHAnsi" w:hAnsiTheme="minorHAnsi"/>
                <w:sz w:val="20"/>
                <w:szCs w:val="20"/>
              </w:rPr>
              <w:t>in Prague</w:t>
            </w:r>
            <w:r w:rsidRPr="00F36588">
              <w:rPr>
                <w:rFonts w:asciiTheme="minorHAnsi" w:hAnsiTheme="minorHAnsi"/>
                <w:sz w:val="20"/>
                <w:szCs w:val="20"/>
              </w:rPr>
              <w:t xml:space="preserve">, File No. </w:t>
            </w:r>
            <w:r w:rsidR="008E6BB9">
              <w:rPr>
                <w:rFonts w:asciiTheme="minorHAnsi" w:hAnsiTheme="minorHAnsi"/>
                <w:sz w:val="20"/>
                <w:szCs w:val="20"/>
                <w:lang w:val="sk-SK"/>
              </w:rPr>
              <w:t>C226523</w:t>
            </w:r>
          </w:p>
        </w:tc>
        <w:tc>
          <w:tcPr>
            <w:tcW w:w="4699" w:type="dxa"/>
          </w:tcPr>
          <w:p w14:paraId="246B4A5C" w14:textId="645DD6F8" w:rsidR="00432CAD" w:rsidRPr="00EA72E7" w:rsidRDefault="00FF2034" w:rsidP="008E6BB9">
            <w:pPr>
              <w:tabs>
                <w:tab w:val="left" w:pos="1143"/>
              </w:tabs>
              <w:spacing w:before="0"/>
              <w:ind w:left="434"/>
              <w:rPr>
                <w:rFonts w:asciiTheme="minorHAnsi" w:hAnsiTheme="minorHAnsi"/>
                <w:sz w:val="20"/>
                <w:szCs w:val="20"/>
                <w:lang w:val="sk-SK"/>
              </w:rPr>
            </w:pPr>
            <w:r w:rsidRPr="00EA72E7">
              <w:rPr>
                <w:rFonts w:asciiTheme="minorHAnsi" w:hAnsiTheme="minorHAnsi"/>
                <w:sz w:val="20"/>
                <w:szCs w:val="20"/>
                <w:lang w:val="sk-SK"/>
              </w:rPr>
              <w:t xml:space="preserve">zapísaná v Obchodnom registri </w:t>
            </w:r>
            <w:r w:rsidR="0026514F">
              <w:rPr>
                <w:rFonts w:asciiTheme="minorHAnsi" w:hAnsiTheme="minorHAnsi"/>
                <w:sz w:val="20"/>
                <w:szCs w:val="20"/>
                <w:lang w:val="sk-SK"/>
              </w:rPr>
              <w:t xml:space="preserve">Mestského </w:t>
            </w:r>
            <w:r w:rsidRPr="00EA72E7">
              <w:rPr>
                <w:rFonts w:asciiTheme="minorHAnsi" w:hAnsiTheme="minorHAnsi"/>
                <w:sz w:val="20"/>
                <w:szCs w:val="20"/>
                <w:lang w:val="sk-SK"/>
              </w:rPr>
              <w:t xml:space="preserve">súdu </w:t>
            </w:r>
            <w:r w:rsidR="0026514F">
              <w:rPr>
                <w:rFonts w:asciiTheme="minorHAnsi" w:hAnsiTheme="minorHAnsi"/>
                <w:sz w:val="20"/>
                <w:szCs w:val="20"/>
                <w:lang w:val="sk-SK"/>
              </w:rPr>
              <w:t>v Prahe</w:t>
            </w:r>
            <w:r w:rsidRPr="00EA72E7">
              <w:rPr>
                <w:rFonts w:asciiTheme="minorHAnsi" w:hAnsiTheme="minorHAnsi"/>
                <w:sz w:val="20"/>
                <w:szCs w:val="20"/>
                <w:lang w:val="sk-SK"/>
              </w:rPr>
              <w:t xml:space="preserve">, </w:t>
            </w:r>
            <w:r w:rsidR="0026514F">
              <w:rPr>
                <w:rFonts w:asciiTheme="minorHAnsi" w:hAnsiTheme="minorHAnsi"/>
                <w:sz w:val="20"/>
                <w:szCs w:val="20"/>
                <w:lang w:val="sk-SK"/>
              </w:rPr>
              <w:t>spisová značka: C226523</w:t>
            </w:r>
          </w:p>
        </w:tc>
      </w:tr>
      <w:tr w:rsidR="00D42AD6" w:rsidRPr="0090766C" w14:paraId="1AE50660" w14:textId="77777777" w:rsidTr="002F2988">
        <w:tc>
          <w:tcPr>
            <w:tcW w:w="4697" w:type="dxa"/>
          </w:tcPr>
          <w:p w14:paraId="00414649" w14:textId="77777777" w:rsidR="00D400F7" w:rsidRDefault="00FF2034">
            <w:pPr>
              <w:tabs>
                <w:tab w:val="left" w:pos="1140"/>
              </w:tabs>
              <w:spacing w:before="0"/>
              <w:ind w:left="426"/>
              <w:rPr>
                <w:rFonts w:asciiTheme="minorHAnsi" w:hAnsiTheme="minorHAnsi"/>
                <w:sz w:val="20"/>
                <w:szCs w:val="20"/>
              </w:rPr>
            </w:pPr>
            <w:r w:rsidRPr="00F36588">
              <w:rPr>
                <w:rFonts w:asciiTheme="minorHAnsi" w:hAnsiTheme="minorHAnsi"/>
                <w:sz w:val="20"/>
                <w:szCs w:val="20"/>
              </w:rPr>
              <w:t>Represented by:</w:t>
            </w:r>
          </w:p>
          <w:p w14:paraId="7E05B3CA" w14:textId="7F0CCB4C" w:rsidR="00D42AD6" w:rsidRPr="00F36588" w:rsidRDefault="008E6BB9">
            <w:pPr>
              <w:tabs>
                <w:tab w:val="left" w:pos="1140"/>
              </w:tabs>
              <w:spacing w:before="0"/>
              <w:ind w:left="426"/>
              <w:rPr>
                <w:rFonts w:asciiTheme="minorHAnsi" w:hAnsiTheme="minorHAnsi"/>
                <w:sz w:val="20"/>
                <w:szCs w:val="20"/>
              </w:rPr>
            </w:pPr>
            <w:r>
              <w:rPr>
                <w:rFonts w:asciiTheme="minorHAnsi" w:hAnsiTheme="minorHAnsi"/>
                <w:sz w:val="20"/>
                <w:szCs w:val="20"/>
              </w:rPr>
              <w:t>Zdeněk Šíma</w:t>
            </w:r>
            <w:r w:rsidR="00FF2034">
              <w:rPr>
                <w:rFonts w:asciiTheme="minorHAnsi" w:hAnsiTheme="minorHAnsi"/>
                <w:sz w:val="20"/>
                <w:szCs w:val="20"/>
              </w:rPr>
              <w:t>, Executive</w:t>
            </w:r>
          </w:p>
        </w:tc>
        <w:tc>
          <w:tcPr>
            <w:tcW w:w="4699" w:type="dxa"/>
          </w:tcPr>
          <w:p w14:paraId="3BCF4DB6" w14:textId="28E00F55" w:rsidR="00D42AD6" w:rsidRPr="00EA72E7" w:rsidRDefault="00FF2034" w:rsidP="008E6BB9">
            <w:pPr>
              <w:tabs>
                <w:tab w:val="left" w:pos="1143"/>
              </w:tabs>
              <w:spacing w:before="0"/>
              <w:ind w:left="434"/>
              <w:rPr>
                <w:rFonts w:asciiTheme="minorHAnsi" w:hAnsiTheme="minorHAnsi"/>
                <w:sz w:val="20"/>
                <w:szCs w:val="20"/>
              </w:rPr>
            </w:pPr>
            <w:r w:rsidRPr="00EA72E7">
              <w:rPr>
                <w:rFonts w:asciiTheme="minorHAnsi" w:hAnsiTheme="minorHAnsi"/>
                <w:sz w:val="20"/>
                <w:szCs w:val="20"/>
                <w:lang w:val="sk-SK"/>
              </w:rPr>
              <w:t>zastúpená:</w:t>
            </w:r>
            <w:r w:rsidRPr="00EA72E7">
              <w:rPr>
                <w:rFonts w:asciiTheme="minorHAnsi" w:hAnsiTheme="minorHAnsi"/>
                <w:sz w:val="20"/>
                <w:szCs w:val="20"/>
                <w:lang w:val="sk-SK"/>
              </w:rPr>
              <w:br/>
            </w:r>
            <w:r w:rsidR="008E6BB9">
              <w:rPr>
                <w:rFonts w:asciiTheme="minorHAnsi" w:hAnsiTheme="minorHAnsi"/>
                <w:sz w:val="20"/>
                <w:szCs w:val="20"/>
                <w:lang w:val="sk-SK"/>
              </w:rPr>
              <w:t>Zdeněk Šíma</w:t>
            </w:r>
            <w:r>
              <w:rPr>
                <w:rFonts w:asciiTheme="minorHAnsi" w:hAnsiTheme="minorHAnsi"/>
                <w:sz w:val="20"/>
                <w:szCs w:val="20"/>
                <w:lang w:val="sk-SK"/>
              </w:rPr>
              <w:t>, konateľ</w:t>
            </w:r>
            <w:r w:rsidDel="00FF2034">
              <w:rPr>
                <w:rFonts w:asciiTheme="minorHAnsi" w:hAnsiTheme="minorHAnsi"/>
                <w:sz w:val="20"/>
                <w:szCs w:val="20"/>
              </w:rPr>
              <w:t xml:space="preserve"> </w:t>
            </w:r>
          </w:p>
        </w:tc>
      </w:tr>
      <w:tr w:rsidR="00432CAD" w:rsidRPr="0090766C" w14:paraId="08D9658D" w14:textId="77777777" w:rsidTr="002F2988">
        <w:tc>
          <w:tcPr>
            <w:tcW w:w="4697" w:type="dxa"/>
          </w:tcPr>
          <w:p w14:paraId="5DD5EA43" w14:textId="77777777" w:rsidR="00432CAD" w:rsidRPr="00F36588" w:rsidRDefault="00432CAD" w:rsidP="002F2988">
            <w:pPr>
              <w:tabs>
                <w:tab w:val="left" w:pos="1843"/>
              </w:tabs>
              <w:jc w:val="left"/>
              <w:rPr>
                <w:rFonts w:asciiTheme="minorHAnsi" w:hAnsiTheme="minorHAnsi"/>
                <w:sz w:val="20"/>
                <w:szCs w:val="20"/>
              </w:rPr>
            </w:pPr>
            <w:r w:rsidRPr="00F36588">
              <w:rPr>
                <w:rFonts w:asciiTheme="minorHAnsi" w:hAnsiTheme="minorHAnsi"/>
                <w:sz w:val="20"/>
                <w:szCs w:val="20"/>
              </w:rPr>
              <w:t>(“</w:t>
            </w:r>
            <w:r w:rsidRPr="00F36588">
              <w:rPr>
                <w:rFonts w:asciiTheme="minorHAnsi" w:hAnsiTheme="minorHAnsi"/>
                <w:b/>
                <w:sz w:val="20"/>
                <w:szCs w:val="20"/>
              </w:rPr>
              <w:t>Tenant</w:t>
            </w:r>
            <w:r w:rsidRPr="00F36588">
              <w:rPr>
                <w:rFonts w:asciiTheme="minorHAnsi" w:hAnsiTheme="minorHAnsi"/>
                <w:sz w:val="20"/>
                <w:szCs w:val="20"/>
              </w:rPr>
              <w:t>”);</w:t>
            </w:r>
          </w:p>
        </w:tc>
        <w:tc>
          <w:tcPr>
            <w:tcW w:w="4699" w:type="dxa"/>
          </w:tcPr>
          <w:p w14:paraId="7288E580" w14:textId="77777777" w:rsidR="00432CAD" w:rsidRPr="00EA72E7" w:rsidRDefault="00432CAD" w:rsidP="002F2988">
            <w:pPr>
              <w:tabs>
                <w:tab w:val="left" w:pos="1143"/>
              </w:tabs>
              <w:jc w:val="left"/>
              <w:rPr>
                <w:rFonts w:asciiTheme="minorHAnsi" w:hAnsiTheme="minorHAnsi"/>
                <w:sz w:val="20"/>
                <w:szCs w:val="20"/>
                <w:lang w:val="sk-SK"/>
              </w:rPr>
            </w:pPr>
            <w:r w:rsidRPr="00EA72E7">
              <w:rPr>
                <w:rFonts w:asciiTheme="minorHAnsi" w:hAnsiTheme="minorHAnsi"/>
                <w:sz w:val="20"/>
                <w:szCs w:val="20"/>
                <w:lang w:val="sk-SK"/>
              </w:rPr>
              <w:t>(„</w:t>
            </w:r>
            <w:r w:rsidRPr="00EA72E7">
              <w:rPr>
                <w:rFonts w:asciiTheme="minorHAnsi" w:hAnsiTheme="minorHAnsi"/>
                <w:b/>
                <w:sz w:val="20"/>
                <w:szCs w:val="20"/>
                <w:lang w:val="sk-SK"/>
              </w:rPr>
              <w:t>Nájomca</w:t>
            </w:r>
            <w:r w:rsidRPr="00EA72E7">
              <w:rPr>
                <w:rFonts w:asciiTheme="minorHAnsi" w:hAnsiTheme="minorHAnsi"/>
                <w:sz w:val="20"/>
                <w:szCs w:val="20"/>
                <w:lang w:val="sk-SK"/>
              </w:rPr>
              <w:t>“);</w:t>
            </w:r>
          </w:p>
        </w:tc>
      </w:tr>
      <w:tr w:rsidR="00432CAD" w:rsidRPr="0090766C" w14:paraId="161393D3" w14:textId="77777777" w:rsidTr="002F2988">
        <w:tc>
          <w:tcPr>
            <w:tcW w:w="4697" w:type="dxa"/>
          </w:tcPr>
          <w:p w14:paraId="1719840E" w14:textId="77777777" w:rsidR="00432CAD" w:rsidRPr="00F36588" w:rsidRDefault="00432CAD" w:rsidP="000E761A">
            <w:pPr>
              <w:tabs>
                <w:tab w:val="left" w:pos="1843"/>
              </w:tabs>
              <w:rPr>
                <w:rFonts w:asciiTheme="minorHAnsi" w:hAnsiTheme="minorHAnsi"/>
                <w:sz w:val="20"/>
                <w:szCs w:val="20"/>
              </w:rPr>
            </w:pPr>
            <w:r w:rsidRPr="00F36588">
              <w:rPr>
                <w:rFonts w:asciiTheme="minorHAnsi" w:hAnsiTheme="minorHAnsi"/>
                <w:sz w:val="20"/>
                <w:szCs w:val="20"/>
              </w:rPr>
              <w:t>(the Lessor and Tenant jointly as the “</w:t>
            </w:r>
            <w:r w:rsidRPr="00F36588">
              <w:rPr>
                <w:rFonts w:asciiTheme="minorHAnsi" w:hAnsiTheme="minorHAnsi"/>
                <w:b/>
                <w:sz w:val="20"/>
                <w:szCs w:val="20"/>
              </w:rPr>
              <w:t>parties</w:t>
            </w:r>
            <w:r w:rsidRPr="00F36588">
              <w:rPr>
                <w:rFonts w:asciiTheme="minorHAnsi" w:hAnsiTheme="minorHAnsi"/>
                <w:sz w:val="20"/>
                <w:szCs w:val="20"/>
              </w:rPr>
              <w:t>” and individually as a “</w:t>
            </w:r>
            <w:r w:rsidRPr="00F36588">
              <w:rPr>
                <w:rFonts w:asciiTheme="minorHAnsi" w:hAnsiTheme="minorHAnsi"/>
                <w:b/>
                <w:sz w:val="20"/>
                <w:szCs w:val="20"/>
              </w:rPr>
              <w:t>party</w:t>
            </w:r>
            <w:r w:rsidRPr="00F36588">
              <w:rPr>
                <w:rFonts w:asciiTheme="minorHAnsi" w:hAnsiTheme="minorHAnsi"/>
                <w:sz w:val="20"/>
                <w:szCs w:val="20"/>
              </w:rPr>
              <w:t>”).</w:t>
            </w:r>
          </w:p>
        </w:tc>
        <w:tc>
          <w:tcPr>
            <w:tcW w:w="4699" w:type="dxa"/>
          </w:tcPr>
          <w:p w14:paraId="48EBB88B" w14:textId="77777777" w:rsidR="00432CAD" w:rsidRPr="00EA72E7" w:rsidRDefault="00432CAD" w:rsidP="000E761A">
            <w:pPr>
              <w:tabs>
                <w:tab w:val="left" w:pos="1143"/>
              </w:tabs>
              <w:rPr>
                <w:rFonts w:asciiTheme="minorHAnsi" w:hAnsiTheme="minorHAnsi"/>
                <w:sz w:val="20"/>
                <w:szCs w:val="20"/>
                <w:lang w:val="sk-SK"/>
              </w:rPr>
            </w:pPr>
            <w:r w:rsidRPr="00EA72E7">
              <w:rPr>
                <w:rFonts w:asciiTheme="minorHAnsi" w:hAnsiTheme="minorHAnsi"/>
                <w:sz w:val="20"/>
                <w:szCs w:val="20"/>
                <w:lang w:val="sk-SK"/>
              </w:rPr>
              <w:t>(Prenajímateľ a Nájomca ďalej spoločne ako „</w:t>
            </w:r>
            <w:r w:rsidRPr="00EA72E7">
              <w:rPr>
                <w:rFonts w:asciiTheme="minorHAnsi" w:hAnsiTheme="minorHAnsi"/>
                <w:b/>
                <w:sz w:val="20"/>
                <w:szCs w:val="20"/>
                <w:lang w:val="sk-SK"/>
              </w:rPr>
              <w:t>strany</w:t>
            </w:r>
            <w:r w:rsidRPr="00EA72E7">
              <w:rPr>
                <w:rFonts w:asciiTheme="minorHAnsi" w:hAnsiTheme="minorHAnsi"/>
                <w:sz w:val="20"/>
                <w:szCs w:val="20"/>
                <w:lang w:val="sk-SK"/>
              </w:rPr>
              <w:t>“ a jednotlivo ako „</w:t>
            </w:r>
            <w:r w:rsidRPr="00EA72E7">
              <w:rPr>
                <w:rFonts w:asciiTheme="minorHAnsi" w:hAnsiTheme="minorHAnsi"/>
                <w:b/>
                <w:sz w:val="20"/>
                <w:szCs w:val="20"/>
                <w:lang w:val="sk-SK"/>
              </w:rPr>
              <w:t>strana</w:t>
            </w:r>
            <w:r w:rsidRPr="00EA72E7">
              <w:rPr>
                <w:rFonts w:asciiTheme="minorHAnsi" w:hAnsiTheme="minorHAnsi"/>
                <w:sz w:val="20"/>
                <w:szCs w:val="20"/>
                <w:lang w:val="sk-SK"/>
              </w:rPr>
              <w:t>“).</w:t>
            </w:r>
          </w:p>
        </w:tc>
      </w:tr>
      <w:tr w:rsidR="00432CAD" w:rsidRPr="0090766C" w14:paraId="180C6FC8" w14:textId="77777777" w:rsidTr="002F2988">
        <w:tc>
          <w:tcPr>
            <w:tcW w:w="4697" w:type="dxa"/>
          </w:tcPr>
          <w:p w14:paraId="081ACBA4" w14:textId="77777777" w:rsidR="00432CAD" w:rsidRPr="00F36588" w:rsidRDefault="00432CAD" w:rsidP="002F2988">
            <w:pPr>
              <w:tabs>
                <w:tab w:val="left" w:pos="1843"/>
              </w:tabs>
              <w:rPr>
                <w:rFonts w:asciiTheme="minorHAnsi" w:hAnsiTheme="minorHAnsi"/>
                <w:sz w:val="20"/>
                <w:szCs w:val="20"/>
              </w:rPr>
            </w:pPr>
            <w:r w:rsidRPr="00F36588">
              <w:rPr>
                <w:rFonts w:asciiTheme="minorHAnsi" w:hAnsiTheme="minorHAnsi"/>
                <w:sz w:val="20"/>
                <w:szCs w:val="20"/>
              </w:rPr>
              <w:t xml:space="preserve">The Standard Terms and Conditions are an indispensable part of this Agreement and are attached hereto as </w:t>
            </w:r>
            <w:r w:rsidRPr="00F36588">
              <w:rPr>
                <w:rFonts w:asciiTheme="minorHAnsi" w:hAnsiTheme="minorHAnsi"/>
                <w:b/>
                <w:sz w:val="20"/>
                <w:szCs w:val="20"/>
              </w:rPr>
              <w:t>Annex No. 1</w:t>
            </w:r>
            <w:r w:rsidRPr="00F36588">
              <w:rPr>
                <w:rFonts w:asciiTheme="minorHAnsi" w:hAnsiTheme="minorHAnsi"/>
                <w:sz w:val="20"/>
                <w:szCs w:val="20"/>
              </w:rPr>
              <w:t>. Different provisions of this Agreement shall prevail over the provisions of the Standard Terms and Conditions. The terms not defined herein but defined in the Standard Terms and Conditions shall have the meaning ascribed to them therein.</w:t>
            </w:r>
          </w:p>
        </w:tc>
        <w:tc>
          <w:tcPr>
            <w:tcW w:w="4699" w:type="dxa"/>
          </w:tcPr>
          <w:p w14:paraId="0702F8B8" w14:textId="77777777" w:rsidR="00432CAD" w:rsidRPr="00EA72E7" w:rsidRDefault="00432CAD" w:rsidP="002F2988">
            <w:pPr>
              <w:tabs>
                <w:tab w:val="left" w:pos="1143"/>
              </w:tabs>
              <w:rPr>
                <w:rFonts w:asciiTheme="minorHAnsi" w:hAnsiTheme="minorHAnsi"/>
                <w:sz w:val="20"/>
                <w:szCs w:val="20"/>
                <w:lang w:val="sk-SK"/>
              </w:rPr>
            </w:pPr>
            <w:r w:rsidRPr="00EA72E7">
              <w:rPr>
                <w:rFonts w:asciiTheme="minorHAnsi" w:hAnsiTheme="minorHAnsi"/>
                <w:sz w:val="20"/>
                <w:szCs w:val="20"/>
                <w:lang w:val="sk-SK"/>
              </w:rPr>
              <w:t xml:space="preserve">Štandardné obchodné podmienky sú neoddeliteľnou súčasťou tejto Zmluvy a tvoria jej </w:t>
            </w:r>
            <w:r w:rsidRPr="00EA72E7">
              <w:rPr>
                <w:rFonts w:asciiTheme="minorHAnsi" w:hAnsiTheme="minorHAnsi"/>
                <w:b/>
                <w:sz w:val="20"/>
                <w:szCs w:val="20"/>
                <w:lang w:val="sk-SK"/>
              </w:rPr>
              <w:t>Prílohu č. 1</w:t>
            </w:r>
            <w:r w:rsidRPr="00EA72E7">
              <w:rPr>
                <w:rFonts w:asciiTheme="minorHAnsi" w:hAnsiTheme="minorHAnsi"/>
                <w:sz w:val="20"/>
                <w:szCs w:val="20"/>
                <w:lang w:val="sk-SK"/>
              </w:rPr>
              <w:t>. Rozdielne ustanovenia tejto Zmluvy majú prednosť pred ustanoveniami Štandardných obchodných podmienok. Pojmy nedefinované v tejto Zmluve, ale definované v Štandardných obchodných podmienkach majú význam im priradený v Štandardných obchodných podmienkach.</w:t>
            </w:r>
          </w:p>
        </w:tc>
      </w:tr>
      <w:tr w:rsidR="00432CAD" w:rsidRPr="0090766C" w14:paraId="0E262273" w14:textId="77777777" w:rsidTr="002F2988">
        <w:tc>
          <w:tcPr>
            <w:tcW w:w="4697" w:type="dxa"/>
          </w:tcPr>
          <w:p w14:paraId="30290354" w14:textId="77777777" w:rsidR="00432CAD" w:rsidRPr="00F36588" w:rsidRDefault="00432CAD" w:rsidP="002F2988">
            <w:pPr>
              <w:pStyle w:val="ENAgreementL1"/>
              <w:numPr>
                <w:ilvl w:val="0"/>
                <w:numId w:val="2"/>
              </w:numPr>
              <w:rPr>
                <w:rFonts w:asciiTheme="minorHAnsi" w:hAnsiTheme="minorHAnsi"/>
              </w:rPr>
            </w:pPr>
            <w:r w:rsidRPr="00F36588">
              <w:rPr>
                <w:rFonts w:asciiTheme="minorHAnsi" w:hAnsiTheme="minorHAnsi"/>
              </w:rPr>
              <w:t>SUBJECT AND PURPOSE OF THE AGREEMENT</w:t>
            </w:r>
          </w:p>
        </w:tc>
        <w:tc>
          <w:tcPr>
            <w:tcW w:w="4699" w:type="dxa"/>
          </w:tcPr>
          <w:p w14:paraId="307185C8" w14:textId="77777777" w:rsidR="00432CAD" w:rsidRPr="00EA72E7" w:rsidRDefault="00432CAD" w:rsidP="002F2988">
            <w:pPr>
              <w:pStyle w:val="SKAgreementL1"/>
              <w:rPr>
                <w:rFonts w:asciiTheme="minorHAnsi" w:hAnsiTheme="minorHAnsi"/>
                <w:lang w:val="sk-SK"/>
              </w:rPr>
            </w:pPr>
            <w:r w:rsidRPr="00EA72E7">
              <w:rPr>
                <w:rFonts w:asciiTheme="minorHAnsi" w:hAnsiTheme="minorHAnsi"/>
                <w:lang w:val="sk-SK"/>
              </w:rPr>
              <w:t>PREDMET A ÚČEL ZMLUVY</w:t>
            </w:r>
          </w:p>
        </w:tc>
      </w:tr>
      <w:tr w:rsidR="00432CAD" w:rsidRPr="0090766C" w14:paraId="7027C23D" w14:textId="77777777" w:rsidTr="002F2988">
        <w:tc>
          <w:tcPr>
            <w:tcW w:w="4697" w:type="dxa"/>
          </w:tcPr>
          <w:p w14:paraId="6804529E" w14:textId="2A1E8289" w:rsidR="00432CAD" w:rsidRPr="00F36588" w:rsidRDefault="00432CAD" w:rsidP="00084D51">
            <w:pPr>
              <w:pStyle w:val="ENAgreementL2"/>
              <w:numPr>
                <w:ilvl w:val="1"/>
                <w:numId w:val="2"/>
              </w:numPr>
              <w:rPr>
                <w:rFonts w:asciiTheme="minorHAnsi" w:hAnsiTheme="minorHAnsi"/>
              </w:rPr>
            </w:pPr>
            <w:r w:rsidRPr="00F36588">
              <w:rPr>
                <w:rFonts w:asciiTheme="minorHAnsi" w:hAnsiTheme="minorHAnsi"/>
                <w:bCs/>
              </w:rPr>
              <w:t>The Lessor hereby leases to the Tenant the non-residential premises</w:t>
            </w:r>
            <w:r w:rsidRPr="00F36588">
              <w:rPr>
                <w:rFonts w:asciiTheme="minorHAnsi" w:hAnsiTheme="minorHAnsi"/>
              </w:rPr>
              <w:t xml:space="preserve"> </w:t>
            </w:r>
            <w:r w:rsidRPr="00F36588">
              <w:rPr>
                <w:rFonts w:asciiTheme="minorHAnsi" w:hAnsiTheme="minorHAnsi"/>
                <w:bCs/>
              </w:rPr>
              <w:t xml:space="preserve">on </w:t>
            </w:r>
            <w:r w:rsidRPr="007C5F65">
              <w:rPr>
                <w:rFonts w:asciiTheme="minorHAnsi" w:hAnsiTheme="minorHAnsi"/>
                <w:bCs/>
              </w:rPr>
              <w:t xml:space="preserve">the </w:t>
            </w:r>
            <w:r w:rsidR="008E6BB9">
              <w:rPr>
                <w:rFonts w:asciiTheme="minorHAnsi" w:hAnsiTheme="minorHAnsi"/>
              </w:rPr>
              <w:t>fourth</w:t>
            </w:r>
            <w:r w:rsidR="008E6BB9" w:rsidRPr="000E761A">
              <w:rPr>
                <w:rFonts w:asciiTheme="minorHAnsi" w:hAnsiTheme="minorHAnsi"/>
              </w:rPr>
              <w:t xml:space="preserve"> </w:t>
            </w:r>
            <w:r w:rsidRPr="007C5F65">
              <w:rPr>
                <w:rFonts w:asciiTheme="minorHAnsi" w:hAnsiTheme="minorHAnsi"/>
                <w:bCs/>
              </w:rPr>
              <w:t>floor</w:t>
            </w:r>
            <w:r w:rsidRPr="00F36588">
              <w:rPr>
                <w:rFonts w:asciiTheme="minorHAnsi" w:hAnsiTheme="minorHAnsi"/>
                <w:bCs/>
              </w:rPr>
              <w:t xml:space="preserve"> of the Building marked in the premises plan attached hereto as </w:t>
            </w:r>
            <w:r w:rsidRPr="00F36588">
              <w:rPr>
                <w:rFonts w:asciiTheme="minorHAnsi" w:hAnsiTheme="minorHAnsi"/>
                <w:b/>
                <w:bCs/>
              </w:rPr>
              <w:t>Annex No. 2</w:t>
            </w:r>
            <w:r w:rsidRPr="00F36588">
              <w:rPr>
                <w:rFonts w:asciiTheme="minorHAnsi" w:hAnsiTheme="minorHAnsi"/>
                <w:bCs/>
              </w:rPr>
              <w:t xml:space="preserve"> </w:t>
            </w:r>
            <w:r w:rsidR="00677E28">
              <w:rPr>
                <w:rFonts w:asciiTheme="minorHAnsi" w:hAnsiTheme="minorHAnsi"/>
                <w:bCs/>
              </w:rPr>
              <w:t>as r</w:t>
            </w:r>
            <w:r w:rsidR="00677E28" w:rsidRPr="00F36588">
              <w:rPr>
                <w:rFonts w:asciiTheme="minorHAnsi" w:hAnsiTheme="minorHAnsi"/>
                <w:bCs/>
              </w:rPr>
              <w:t>o</w:t>
            </w:r>
            <w:r w:rsidR="00677E28">
              <w:rPr>
                <w:rFonts w:asciiTheme="minorHAnsi" w:hAnsiTheme="minorHAnsi"/>
                <w:bCs/>
              </w:rPr>
              <w:t>o</w:t>
            </w:r>
            <w:r w:rsidR="00677E28" w:rsidRPr="00F36588">
              <w:rPr>
                <w:rFonts w:asciiTheme="minorHAnsi" w:hAnsiTheme="minorHAnsi"/>
                <w:bCs/>
              </w:rPr>
              <w:t>m</w:t>
            </w:r>
            <w:r w:rsidR="00FF2034" w:rsidRPr="00F36588">
              <w:rPr>
                <w:rFonts w:asciiTheme="minorHAnsi" w:hAnsiTheme="minorHAnsi"/>
                <w:bCs/>
              </w:rPr>
              <w:t xml:space="preserve"> No. </w:t>
            </w:r>
            <w:r w:rsidR="008E6BB9">
              <w:rPr>
                <w:rFonts w:asciiTheme="minorHAnsi" w:hAnsiTheme="minorHAnsi"/>
                <w:bCs/>
              </w:rPr>
              <w:t>20</w:t>
            </w:r>
            <w:r w:rsidR="00FF2034">
              <w:rPr>
                <w:rFonts w:asciiTheme="minorHAnsi" w:hAnsiTheme="minorHAnsi"/>
                <w:bCs/>
              </w:rPr>
              <w:t xml:space="preserve"> </w:t>
            </w:r>
            <w:r w:rsidRPr="00F36588">
              <w:rPr>
                <w:rFonts w:asciiTheme="minorHAnsi" w:hAnsiTheme="minorHAnsi"/>
                <w:bCs/>
              </w:rPr>
              <w:t xml:space="preserve">for the </w:t>
            </w:r>
            <w:r w:rsidRPr="00F36588">
              <w:rPr>
                <w:rFonts w:asciiTheme="minorHAnsi" w:hAnsiTheme="minorHAnsi"/>
                <w:bCs/>
              </w:rPr>
              <w:lastRenderedPageBreak/>
              <w:t>purpose of use as office space (“</w:t>
            </w:r>
            <w:r w:rsidRPr="00F36588">
              <w:rPr>
                <w:rFonts w:asciiTheme="minorHAnsi" w:hAnsiTheme="minorHAnsi"/>
                <w:b/>
                <w:bCs/>
              </w:rPr>
              <w:t>Premises</w:t>
            </w:r>
            <w:r w:rsidRPr="00F36588">
              <w:rPr>
                <w:rFonts w:asciiTheme="minorHAnsi" w:hAnsiTheme="minorHAnsi"/>
                <w:bCs/>
              </w:rPr>
              <w:t>”).</w:t>
            </w:r>
            <w:r w:rsidR="00850245">
              <w:rPr>
                <w:rFonts w:asciiTheme="minorHAnsi" w:hAnsiTheme="minorHAnsi"/>
                <w:bCs/>
              </w:rPr>
              <w:t xml:space="preserve"> The area of the Premises consists of </w:t>
            </w:r>
            <w:r w:rsidR="00084D51">
              <w:rPr>
                <w:rFonts w:asciiTheme="minorHAnsi" w:hAnsiTheme="minorHAnsi"/>
                <w:bCs/>
              </w:rPr>
              <w:t>…..</w:t>
            </w:r>
            <w:r w:rsidR="00850245">
              <w:rPr>
                <w:rFonts w:asciiTheme="minorHAnsi" w:hAnsiTheme="minorHAnsi"/>
                <w:bCs/>
              </w:rPr>
              <w:t xml:space="preserve"> m</w:t>
            </w:r>
            <w:r w:rsidR="00850245">
              <w:rPr>
                <w:rFonts w:asciiTheme="minorHAnsi" w:hAnsiTheme="minorHAnsi"/>
                <w:bCs/>
                <w:vertAlign w:val="superscript"/>
              </w:rPr>
              <w:t>2</w:t>
            </w:r>
            <w:r w:rsidR="00850245">
              <w:rPr>
                <w:rFonts w:asciiTheme="minorHAnsi" w:hAnsiTheme="minorHAnsi"/>
                <w:bCs/>
              </w:rPr>
              <w:t xml:space="preserve"> office space and </w:t>
            </w:r>
            <w:r w:rsidR="00084D51">
              <w:rPr>
                <w:rFonts w:asciiTheme="minorHAnsi" w:hAnsiTheme="minorHAnsi"/>
                <w:bCs/>
              </w:rPr>
              <w:t>…..</w:t>
            </w:r>
            <w:r w:rsidR="00850245">
              <w:rPr>
                <w:rFonts w:asciiTheme="minorHAnsi" w:hAnsiTheme="minorHAnsi"/>
                <w:bCs/>
              </w:rPr>
              <w:t xml:space="preserve"> m</w:t>
            </w:r>
            <w:r w:rsidR="00850245">
              <w:rPr>
                <w:rFonts w:asciiTheme="minorHAnsi" w:hAnsiTheme="minorHAnsi"/>
                <w:bCs/>
                <w:vertAlign w:val="superscript"/>
              </w:rPr>
              <w:t>2</w:t>
            </w:r>
            <w:r w:rsidR="00850245">
              <w:rPr>
                <w:rFonts w:asciiTheme="minorHAnsi" w:hAnsiTheme="minorHAnsi"/>
                <w:bCs/>
              </w:rPr>
              <w:t xml:space="preserve"> shared</w:t>
            </w:r>
            <w:r w:rsidR="004D7744">
              <w:rPr>
                <w:rFonts w:asciiTheme="minorHAnsi" w:hAnsiTheme="minorHAnsi"/>
                <w:bCs/>
              </w:rPr>
              <w:t xml:space="preserve"> space i</w:t>
            </w:r>
            <w:r w:rsidR="00850245">
              <w:rPr>
                <w:rFonts w:asciiTheme="minorHAnsi" w:hAnsiTheme="minorHAnsi"/>
                <w:bCs/>
              </w:rPr>
              <w:t xml:space="preserve">n the common areas of the Lessor </w:t>
            </w:r>
            <w:r w:rsidR="004D7744">
              <w:rPr>
                <w:rFonts w:asciiTheme="minorHAnsi" w:hAnsiTheme="minorHAnsi"/>
                <w:bCs/>
              </w:rPr>
              <w:t>(including c</w:t>
            </w:r>
            <w:r w:rsidR="00850245">
              <w:rPr>
                <w:rFonts w:asciiTheme="minorHAnsi" w:hAnsiTheme="minorHAnsi"/>
                <w:bCs/>
              </w:rPr>
              <w:t>onference rooms</w:t>
            </w:r>
            <w:r w:rsidR="004D7744">
              <w:rPr>
                <w:rFonts w:asciiTheme="minorHAnsi" w:hAnsiTheme="minorHAnsi"/>
                <w:bCs/>
              </w:rPr>
              <w:t xml:space="preserve">), i.e. total area is </w:t>
            </w:r>
            <w:r w:rsidR="00084D51">
              <w:rPr>
                <w:rFonts w:asciiTheme="minorHAnsi" w:hAnsiTheme="minorHAnsi"/>
                <w:bCs/>
              </w:rPr>
              <w:t xml:space="preserve">….. </w:t>
            </w:r>
            <w:r w:rsidR="004D7744">
              <w:rPr>
                <w:rFonts w:asciiTheme="minorHAnsi" w:hAnsiTheme="minorHAnsi"/>
                <w:bCs/>
              </w:rPr>
              <w:t>m</w:t>
            </w:r>
            <w:r w:rsidR="004D7744" w:rsidRPr="004D7744">
              <w:rPr>
                <w:rFonts w:asciiTheme="minorHAnsi" w:hAnsiTheme="minorHAnsi"/>
                <w:bCs/>
                <w:vertAlign w:val="superscript"/>
              </w:rPr>
              <w:t>2</w:t>
            </w:r>
            <w:r w:rsidR="004D7744">
              <w:rPr>
                <w:rFonts w:asciiTheme="minorHAnsi" w:hAnsiTheme="minorHAnsi"/>
                <w:bCs/>
              </w:rPr>
              <w:t xml:space="preserve">. </w:t>
            </w:r>
            <w:r w:rsidRPr="00F36588">
              <w:rPr>
                <w:rFonts w:asciiTheme="minorHAnsi" w:hAnsiTheme="minorHAnsi"/>
                <w:bCs/>
              </w:rPr>
              <w:t xml:space="preserve">The Tenant is entitled to conduct business in the Premises under the brand </w:t>
            </w:r>
            <w:r w:rsidR="004D7744">
              <w:rPr>
                <w:rFonts w:asciiTheme="minorHAnsi" w:hAnsiTheme="minorHAnsi"/>
                <w:bCs/>
              </w:rPr>
              <w:t>“</w:t>
            </w:r>
            <w:r w:rsidR="00905897">
              <w:rPr>
                <w:rFonts w:asciiTheme="minorHAnsi" w:hAnsiTheme="minorHAnsi"/>
              </w:rPr>
              <w:t>Rosatom Central Europe s.r.o.</w:t>
            </w:r>
            <w:r w:rsidR="004D7744">
              <w:rPr>
                <w:rFonts w:asciiTheme="minorHAnsi" w:hAnsiTheme="minorHAnsi"/>
              </w:rPr>
              <w:t>”.</w:t>
            </w:r>
            <w:r w:rsidR="00FF2034">
              <w:rPr>
                <w:rFonts w:asciiTheme="minorHAnsi" w:hAnsiTheme="minorHAnsi"/>
              </w:rPr>
              <w:t xml:space="preserve"> </w:t>
            </w:r>
            <w:r w:rsidR="00FF2034" w:rsidRPr="00F36588">
              <w:rPr>
                <w:rFonts w:asciiTheme="minorHAnsi" w:hAnsiTheme="minorHAnsi"/>
                <w:bCs/>
              </w:rPr>
              <w:t>The Premises shall be handed over to the Tenant on</w:t>
            </w:r>
            <w:r w:rsidR="00FF2034">
              <w:rPr>
                <w:rFonts w:asciiTheme="minorHAnsi" w:hAnsiTheme="minorHAnsi"/>
                <w:bCs/>
              </w:rPr>
              <w:t xml:space="preserve"> </w:t>
            </w:r>
            <w:r w:rsidR="00843FED">
              <w:rPr>
                <w:rFonts w:asciiTheme="minorHAnsi" w:hAnsiTheme="minorHAnsi"/>
                <w:bCs/>
              </w:rPr>
              <w:t>December</w:t>
            </w:r>
            <w:r w:rsidR="00A04BA4">
              <w:rPr>
                <w:rFonts w:asciiTheme="minorHAnsi" w:hAnsiTheme="minorHAnsi"/>
                <w:bCs/>
              </w:rPr>
              <w:t xml:space="preserve"> </w:t>
            </w:r>
            <w:r w:rsidR="00843FED">
              <w:rPr>
                <w:rFonts w:asciiTheme="minorHAnsi" w:hAnsiTheme="minorHAnsi"/>
                <w:bCs/>
              </w:rPr>
              <w:t>1</w:t>
            </w:r>
            <w:r w:rsidR="00843FED">
              <w:rPr>
                <w:rFonts w:asciiTheme="minorHAnsi" w:hAnsiTheme="minorHAnsi"/>
                <w:vertAlign w:val="superscript"/>
              </w:rPr>
              <w:t>st</w:t>
            </w:r>
            <w:r w:rsidR="00FF2034">
              <w:rPr>
                <w:rFonts w:asciiTheme="minorHAnsi" w:hAnsiTheme="minorHAnsi"/>
              </w:rPr>
              <w:t xml:space="preserve">, 2018 </w:t>
            </w:r>
            <w:r w:rsidR="00FF2034" w:rsidRPr="00F36588">
              <w:rPr>
                <w:rFonts w:asciiTheme="minorHAnsi" w:hAnsiTheme="minorHAnsi"/>
                <w:bCs/>
              </w:rPr>
              <w:t>(“</w:t>
            </w:r>
            <w:r w:rsidR="00FF2034" w:rsidRPr="00F36588">
              <w:rPr>
                <w:rFonts w:asciiTheme="minorHAnsi" w:hAnsiTheme="minorHAnsi"/>
                <w:b/>
                <w:bCs/>
              </w:rPr>
              <w:t>Handover</w:t>
            </w:r>
            <w:r w:rsidR="00FF2034" w:rsidRPr="00F36588">
              <w:rPr>
                <w:rFonts w:asciiTheme="minorHAnsi" w:hAnsiTheme="minorHAnsi"/>
                <w:bCs/>
              </w:rPr>
              <w:t>”).</w:t>
            </w:r>
          </w:p>
        </w:tc>
        <w:tc>
          <w:tcPr>
            <w:tcW w:w="4699" w:type="dxa"/>
          </w:tcPr>
          <w:p w14:paraId="08E26420" w14:textId="77C5872D" w:rsidR="00432CAD" w:rsidRPr="00EA72E7" w:rsidRDefault="00432CAD" w:rsidP="00084D51">
            <w:pPr>
              <w:pStyle w:val="SKAgreementL2"/>
              <w:rPr>
                <w:rFonts w:asciiTheme="minorHAnsi" w:hAnsiTheme="minorHAnsi"/>
                <w:lang w:val="sk-SK"/>
              </w:rPr>
            </w:pPr>
            <w:r w:rsidRPr="00EA72E7">
              <w:rPr>
                <w:rFonts w:asciiTheme="minorHAnsi" w:hAnsiTheme="minorHAnsi"/>
                <w:lang w:val="sk-SK"/>
              </w:rPr>
              <w:lastRenderedPageBreak/>
              <w:t xml:space="preserve">Prenajímateľ týmto prenecháva Nájomcovi do nájmu nebytové priestory na </w:t>
            </w:r>
            <w:r w:rsidR="008E6BB9">
              <w:rPr>
                <w:rFonts w:asciiTheme="minorHAnsi" w:hAnsiTheme="minorHAnsi"/>
                <w:lang w:val="sk-SK"/>
              </w:rPr>
              <w:t>štvrtom</w:t>
            </w:r>
            <w:r w:rsidR="008E6BB9" w:rsidRPr="00EA72E7">
              <w:rPr>
                <w:rFonts w:asciiTheme="minorHAnsi" w:hAnsiTheme="minorHAnsi"/>
                <w:lang w:val="sk-SK"/>
              </w:rPr>
              <w:t xml:space="preserve"> </w:t>
            </w:r>
            <w:r w:rsidRPr="00EA72E7">
              <w:rPr>
                <w:rFonts w:asciiTheme="minorHAnsi" w:hAnsiTheme="minorHAnsi"/>
                <w:lang w:val="sk-SK"/>
              </w:rPr>
              <w:t xml:space="preserve">poschodí Budovy vyznačené v pláne priestorov priloženom k tejto Zmluve ako </w:t>
            </w:r>
            <w:r w:rsidRPr="00EA72E7">
              <w:rPr>
                <w:rFonts w:asciiTheme="minorHAnsi" w:hAnsiTheme="minorHAnsi"/>
                <w:b/>
                <w:lang w:val="sk-SK"/>
              </w:rPr>
              <w:t xml:space="preserve">Príloha č. 2 </w:t>
            </w:r>
            <w:r w:rsidRPr="00EA72E7">
              <w:rPr>
                <w:rFonts w:asciiTheme="minorHAnsi" w:hAnsiTheme="minorHAnsi"/>
                <w:lang w:val="sk-SK"/>
              </w:rPr>
              <w:t xml:space="preserve">ako </w:t>
            </w:r>
            <w:r w:rsidR="00FF2034" w:rsidRPr="00EA72E7">
              <w:rPr>
                <w:rFonts w:asciiTheme="minorHAnsi" w:hAnsiTheme="minorHAnsi"/>
                <w:lang w:val="sk-SK"/>
              </w:rPr>
              <w:lastRenderedPageBreak/>
              <w:t>miestnos</w:t>
            </w:r>
            <w:r w:rsidR="008E6BB9">
              <w:rPr>
                <w:rFonts w:asciiTheme="minorHAnsi" w:hAnsiTheme="minorHAnsi"/>
                <w:lang w:val="sk-SK"/>
              </w:rPr>
              <w:t>ť</w:t>
            </w:r>
            <w:r w:rsidR="00FF2034" w:rsidRPr="00EA72E7">
              <w:rPr>
                <w:rFonts w:asciiTheme="minorHAnsi" w:hAnsiTheme="minorHAnsi"/>
                <w:lang w:val="sk-SK"/>
              </w:rPr>
              <w:t xml:space="preserve"> č.</w:t>
            </w:r>
            <w:r w:rsidR="00FF2034">
              <w:rPr>
                <w:rFonts w:asciiTheme="minorHAnsi" w:hAnsiTheme="minorHAnsi"/>
                <w:lang w:val="sk-SK"/>
              </w:rPr>
              <w:t xml:space="preserve"> </w:t>
            </w:r>
            <w:r w:rsidR="008E6BB9">
              <w:rPr>
                <w:rFonts w:asciiTheme="minorHAnsi" w:hAnsiTheme="minorHAnsi"/>
                <w:lang w:val="sk-SK"/>
              </w:rPr>
              <w:t>20</w:t>
            </w:r>
            <w:r w:rsidR="00824F18">
              <w:rPr>
                <w:rFonts w:asciiTheme="minorHAnsi" w:hAnsiTheme="minorHAnsi"/>
                <w:lang w:val="sk-SK"/>
              </w:rPr>
              <w:t xml:space="preserve"> </w:t>
            </w:r>
            <w:r w:rsidRPr="00EA72E7">
              <w:rPr>
                <w:rFonts w:asciiTheme="minorHAnsi" w:hAnsiTheme="minorHAnsi"/>
                <w:lang w:val="sk-SK"/>
              </w:rPr>
              <w:t>za účelom užívania ako kancelársky priestor („</w:t>
            </w:r>
            <w:r w:rsidRPr="00EA72E7">
              <w:rPr>
                <w:rFonts w:asciiTheme="minorHAnsi" w:hAnsiTheme="minorHAnsi"/>
                <w:b/>
                <w:lang w:val="sk-SK"/>
              </w:rPr>
              <w:t>Priestory</w:t>
            </w:r>
            <w:r w:rsidRPr="00EA72E7">
              <w:rPr>
                <w:rFonts w:asciiTheme="minorHAnsi" w:hAnsiTheme="minorHAnsi"/>
                <w:lang w:val="sk-SK"/>
              </w:rPr>
              <w:t>“).</w:t>
            </w:r>
            <w:r w:rsidR="008F6DBC">
              <w:rPr>
                <w:rFonts w:asciiTheme="minorHAnsi" w:hAnsiTheme="minorHAnsi"/>
                <w:lang w:val="sk-SK"/>
              </w:rPr>
              <w:t xml:space="preserve"> Rozloha Priestorov pozostáva z </w:t>
            </w:r>
            <w:r w:rsidR="00084D51">
              <w:rPr>
                <w:rFonts w:asciiTheme="minorHAnsi" w:hAnsiTheme="minorHAnsi"/>
                <w:lang w:val="sk-SK"/>
              </w:rPr>
              <w:t>.....</w:t>
            </w:r>
            <w:r w:rsidR="008F6DBC">
              <w:rPr>
                <w:rFonts w:asciiTheme="minorHAnsi" w:hAnsiTheme="minorHAnsi"/>
                <w:lang w:val="sk-SK"/>
              </w:rPr>
              <w:t xml:space="preserve"> m</w:t>
            </w:r>
            <w:r w:rsidR="008F6DBC">
              <w:rPr>
                <w:rFonts w:asciiTheme="minorHAnsi" w:hAnsiTheme="minorHAnsi"/>
                <w:vertAlign w:val="superscript"/>
                <w:lang w:val="sk-SK"/>
              </w:rPr>
              <w:t>2</w:t>
            </w:r>
            <w:r w:rsidR="008F6DBC">
              <w:rPr>
                <w:rFonts w:asciiTheme="minorHAnsi" w:hAnsiTheme="minorHAnsi"/>
                <w:lang w:val="sk-SK"/>
              </w:rPr>
              <w:t xml:space="preserve"> kancelárskeho priestoru a </w:t>
            </w:r>
            <w:r w:rsidR="00084D51">
              <w:rPr>
                <w:rFonts w:asciiTheme="minorHAnsi" w:hAnsiTheme="minorHAnsi"/>
                <w:lang w:val="sk-SK"/>
              </w:rPr>
              <w:t>.....</w:t>
            </w:r>
            <w:r w:rsidR="008F6DBC">
              <w:rPr>
                <w:rFonts w:asciiTheme="minorHAnsi" w:hAnsiTheme="minorHAnsi"/>
                <w:lang w:val="sk-SK"/>
              </w:rPr>
              <w:t xml:space="preserve"> m</w:t>
            </w:r>
            <w:r w:rsidR="008F6DBC">
              <w:rPr>
                <w:rFonts w:asciiTheme="minorHAnsi" w:hAnsiTheme="minorHAnsi"/>
                <w:vertAlign w:val="superscript"/>
                <w:lang w:val="sk-SK"/>
              </w:rPr>
              <w:t>2</w:t>
            </w:r>
            <w:r w:rsidR="00850245">
              <w:rPr>
                <w:rFonts w:asciiTheme="minorHAnsi" w:hAnsiTheme="minorHAnsi"/>
                <w:lang w:val="sk-SK"/>
              </w:rPr>
              <w:t xml:space="preserve"> podielu na spoločných priestoroch Prenajímateľa </w:t>
            </w:r>
            <w:r w:rsidR="004D7744">
              <w:rPr>
                <w:rFonts w:asciiTheme="minorHAnsi" w:hAnsiTheme="minorHAnsi"/>
                <w:lang w:val="sk-SK"/>
              </w:rPr>
              <w:t>(</w:t>
            </w:r>
            <w:r w:rsidR="00850245">
              <w:rPr>
                <w:rFonts w:asciiTheme="minorHAnsi" w:hAnsiTheme="minorHAnsi"/>
                <w:lang w:val="sk-SK"/>
              </w:rPr>
              <w:t>vrátane konferenčných miestností</w:t>
            </w:r>
            <w:r w:rsidR="004D7744">
              <w:rPr>
                <w:rFonts w:asciiTheme="minorHAnsi" w:hAnsiTheme="minorHAnsi"/>
                <w:lang w:val="sk-SK"/>
              </w:rPr>
              <w:t xml:space="preserve">), t.j. spolu </w:t>
            </w:r>
            <w:r w:rsidR="00084D51">
              <w:rPr>
                <w:rFonts w:asciiTheme="minorHAnsi" w:hAnsiTheme="minorHAnsi"/>
                <w:lang w:val="sk-SK"/>
              </w:rPr>
              <w:t>.....</w:t>
            </w:r>
            <w:r w:rsidR="004D7744">
              <w:rPr>
                <w:rFonts w:asciiTheme="minorHAnsi" w:hAnsiTheme="minorHAnsi"/>
                <w:lang w:val="sk-SK"/>
              </w:rPr>
              <w:t xml:space="preserve"> m</w:t>
            </w:r>
            <w:r w:rsidR="004D7744" w:rsidRPr="004D7744">
              <w:rPr>
                <w:rFonts w:asciiTheme="minorHAnsi" w:hAnsiTheme="minorHAnsi"/>
                <w:vertAlign w:val="superscript"/>
                <w:lang w:val="sk-SK"/>
              </w:rPr>
              <w:t>2</w:t>
            </w:r>
            <w:r w:rsidR="00850245">
              <w:rPr>
                <w:rFonts w:asciiTheme="minorHAnsi" w:hAnsiTheme="minorHAnsi"/>
                <w:lang w:val="sk-SK"/>
              </w:rPr>
              <w:t>.</w:t>
            </w:r>
            <w:r w:rsidRPr="00EA72E7">
              <w:rPr>
                <w:rFonts w:asciiTheme="minorHAnsi" w:hAnsiTheme="minorHAnsi"/>
                <w:lang w:val="sk-SK"/>
              </w:rPr>
              <w:t xml:space="preserve"> Nájomca je oprávnený vykonávať podnikateľskú činnosť v Priestoroch pod označením </w:t>
            </w:r>
            <w:r w:rsidR="004D7744">
              <w:rPr>
                <w:rFonts w:asciiTheme="minorHAnsi" w:hAnsiTheme="minorHAnsi"/>
                <w:lang w:val="sk-SK"/>
              </w:rPr>
              <w:t>„</w:t>
            </w:r>
            <w:r w:rsidR="00905897" w:rsidRPr="00084D51">
              <w:rPr>
                <w:rFonts w:asciiTheme="minorHAnsi" w:hAnsiTheme="minorHAnsi"/>
                <w:lang w:val="sk-SK"/>
              </w:rPr>
              <w:t>Rosatom Central Europe s.r.o.</w:t>
            </w:r>
            <w:r w:rsidR="004D7744" w:rsidRPr="00084D51">
              <w:rPr>
                <w:rFonts w:asciiTheme="minorHAnsi" w:hAnsiTheme="minorHAnsi"/>
                <w:lang w:val="sk-SK"/>
              </w:rPr>
              <w:t>”.</w:t>
            </w:r>
            <w:r w:rsidR="00FF2034" w:rsidRPr="00084D51">
              <w:rPr>
                <w:rFonts w:asciiTheme="minorHAnsi" w:hAnsiTheme="minorHAnsi"/>
                <w:lang w:val="sk-SK"/>
              </w:rPr>
              <w:t xml:space="preserve"> </w:t>
            </w:r>
            <w:r w:rsidR="00FF2034" w:rsidRPr="00EA72E7">
              <w:rPr>
                <w:rFonts w:asciiTheme="minorHAnsi" w:hAnsiTheme="minorHAnsi"/>
                <w:lang w:val="sk-SK"/>
              </w:rPr>
              <w:t xml:space="preserve">Priestory budú odovzdané Nájomcovi dňa </w:t>
            </w:r>
            <w:r w:rsidR="00843FED">
              <w:rPr>
                <w:rFonts w:asciiTheme="minorHAnsi" w:hAnsiTheme="minorHAnsi"/>
                <w:lang w:val="sk-SK"/>
              </w:rPr>
              <w:t>01</w:t>
            </w:r>
            <w:r w:rsidR="00FF2034">
              <w:rPr>
                <w:rFonts w:asciiTheme="minorHAnsi" w:hAnsiTheme="minorHAnsi"/>
                <w:lang w:val="sk-SK"/>
              </w:rPr>
              <w:t xml:space="preserve">. </w:t>
            </w:r>
            <w:r w:rsidR="00843FED">
              <w:rPr>
                <w:rFonts w:asciiTheme="minorHAnsi" w:hAnsiTheme="minorHAnsi"/>
                <w:lang w:val="sk-SK"/>
              </w:rPr>
              <w:t>decembra</w:t>
            </w:r>
            <w:r w:rsidR="00A04BA4">
              <w:rPr>
                <w:rFonts w:asciiTheme="minorHAnsi" w:hAnsiTheme="minorHAnsi"/>
                <w:lang w:val="sk-SK"/>
              </w:rPr>
              <w:t xml:space="preserve"> </w:t>
            </w:r>
            <w:r w:rsidR="00FF2034">
              <w:rPr>
                <w:rFonts w:asciiTheme="minorHAnsi" w:hAnsiTheme="minorHAnsi"/>
                <w:lang w:val="sk-SK"/>
              </w:rPr>
              <w:t>2018</w:t>
            </w:r>
            <w:r w:rsidR="00FF2034" w:rsidRPr="00EA72E7">
              <w:rPr>
                <w:rFonts w:asciiTheme="minorHAnsi" w:hAnsiTheme="minorHAnsi"/>
                <w:lang w:val="sk-SK"/>
              </w:rPr>
              <w:t xml:space="preserve"> („</w:t>
            </w:r>
            <w:r w:rsidR="00FF2034" w:rsidRPr="00EA72E7">
              <w:rPr>
                <w:rFonts w:asciiTheme="minorHAnsi" w:hAnsiTheme="minorHAnsi"/>
                <w:b/>
                <w:lang w:val="sk-SK"/>
              </w:rPr>
              <w:t>Odovzdanie</w:t>
            </w:r>
            <w:r w:rsidR="00FF2034" w:rsidRPr="00EA72E7">
              <w:rPr>
                <w:rFonts w:asciiTheme="minorHAnsi" w:hAnsiTheme="minorHAnsi"/>
                <w:lang w:val="sk-SK"/>
              </w:rPr>
              <w:t>“).</w:t>
            </w:r>
          </w:p>
        </w:tc>
      </w:tr>
      <w:tr w:rsidR="00432CAD" w:rsidRPr="0090766C" w14:paraId="743F0D5A" w14:textId="77777777" w:rsidTr="002F2988">
        <w:tc>
          <w:tcPr>
            <w:tcW w:w="4697" w:type="dxa"/>
          </w:tcPr>
          <w:p w14:paraId="40539B37" w14:textId="77777777" w:rsidR="00432CAD" w:rsidRPr="00F36588" w:rsidRDefault="00432CAD" w:rsidP="002F2988">
            <w:pPr>
              <w:pStyle w:val="ENAgreementL2"/>
              <w:numPr>
                <w:ilvl w:val="1"/>
                <w:numId w:val="2"/>
              </w:numPr>
              <w:rPr>
                <w:rFonts w:asciiTheme="minorHAnsi" w:hAnsiTheme="minorHAnsi"/>
                <w:bCs/>
              </w:rPr>
            </w:pPr>
            <w:r w:rsidRPr="00F36588">
              <w:rPr>
                <w:rFonts w:asciiTheme="minorHAnsi" w:hAnsiTheme="minorHAnsi"/>
                <w:bCs/>
              </w:rPr>
              <w:lastRenderedPageBreak/>
              <w:t>Notwithstanding anything stated otherwise in this Agreement, the Lessor shall not bear any liability in connection with any activity, action or omission of the Tenant under or in violation of his obligation under the Agreement and/or applicable law.</w:t>
            </w:r>
          </w:p>
        </w:tc>
        <w:tc>
          <w:tcPr>
            <w:tcW w:w="4699" w:type="dxa"/>
          </w:tcPr>
          <w:p w14:paraId="62766CF6" w14:textId="77777777" w:rsidR="00432CAD" w:rsidRPr="00EA72E7" w:rsidRDefault="00432CAD" w:rsidP="002F2988">
            <w:pPr>
              <w:pStyle w:val="SKAgreementL2"/>
              <w:rPr>
                <w:rFonts w:asciiTheme="minorHAnsi" w:hAnsiTheme="minorHAnsi"/>
                <w:lang w:val="sk-SK"/>
              </w:rPr>
            </w:pPr>
            <w:r w:rsidRPr="00EA72E7">
              <w:rPr>
                <w:rFonts w:asciiTheme="minorHAnsi" w:hAnsiTheme="minorHAnsi"/>
                <w:lang w:val="sk-SK"/>
              </w:rPr>
              <w:t>Bez ohľadu na čokoľvek uvedené inak v tejto Zmluve, Prenajímateľ nebude niesť žiadnu zodpovednosť v súvislosti s akoukoľvek činnosťou, konaním alebo opomenutím Nájomcu v súlade alebo v rozpore s touto Zmluvou alebo aplikovateľným právom.</w:t>
            </w:r>
          </w:p>
        </w:tc>
      </w:tr>
      <w:tr w:rsidR="00432CAD" w:rsidRPr="0090766C" w14:paraId="39249A46" w14:textId="77777777" w:rsidTr="002F2988">
        <w:tc>
          <w:tcPr>
            <w:tcW w:w="4697" w:type="dxa"/>
          </w:tcPr>
          <w:p w14:paraId="31F03CCB" w14:textId="77777777" w:rsidR="00432CAD" w:rsidRPr="00F36588" w:rsidRDefault="00432CAD" w:rsidP="002F2988">
            <w:pPr>
              <w:pStyle w:val="ENAgreementL1"/>
              <w:numPr>
                <w:ilvl w:val="0"/>
                <w:numId w:val="2"/>
              </w:numPr>
              <w:rPr>
                <w:rFonts w:asciiTheme="minorHAnsi" w:hAnsiTheme="minorHAnsi"/>
              </w:rPr>
            </w:pPr>
            <w:r w:rsidRPr="00F36588">
              <w:rPr>
                <w:rFonts w:asciiTheme="minorHAnsi" w:hAnsiTheme="minorHAnsi"/>
              </w:rPr>
              <w:t>RENT, charges, DEPOSIT</w:t>
            </w:r>
          </w:p>
        </w:tc>
        <w:tc>
          <w:tcPr>
            <w:tcW w:w="4699" w:type="dxa"/>
          </w:tcPr>
          <w:p w14:paraId="6858FE67" w14:textId="77777777" w:rsidR="00432CAD" w:rsidRPr="00EA72E7" w:rsidRDefault="00432CAD" w:rsidP="002F2988">
            <w:pPr>
              <w:pStyle w:val="SKAgreementL1"/>
              <w:rPr>
                <w:rFonts w:asciiTheme="minorHAnsi" w:hAnsiTheme="minorHAnsi"/>
                <w:lang w:val="sk-SK"/>
              </w:rPr>
            </w:pPr>
            <w:r w:rsidRPr="00EA72E7">
              <w:rPr>
                <w:rFonts w:asciiTheme="minorHAnsi" w:hAnsiTheme="minorHAnsi"/>
                <w:lang w:val="sk-SK"/>
              </w:rPr>
              <w:t>Nájomné, poplatky, Zábezpeka</w:t>
            </w:r>
          </w:p>
        </w:tc>
      </w:tr>
      <w:tr w:rsidR="00432CAD" w:rsidRPr="0090766C" w14:paraId="1407A5B3" w14:textId="77777777" w:rsidTr="002F2988">
        <w:tc>
          <w:tcPr>
            <w:tcW w:w="4697" w:type="dxa"/>
          </w:tcPr>
          <w:p w14:paraId="4C3F35A3" w14:textId="76295723" w:rsidR="00432CAD" w:rsidRPr="00F36588" w:rsidRDefault="00432CAD" w:rsidP="00084D51">
            <w:pPr>
              <w:pStyle w:val="ENAgreementL2"/>
              <w:numPr>
                <w:ilvl w:val="1"/>
                <w:numId w:val="2"/>
              </w:numPr>
              <w:rPr>
                <w:rFonts w:asciiTheme="minorHAnsi" w:hAnsiTheme="minorHAnsi"/>
              </w:rPr>
            </w:pPr>
            <w:bookmarkStart w:id="0" w:name="_Ref410976973"/>
            <w:r w:rsidRPr="00F36588">
              <w:rPr>
                <w:rFonts w:asciiTheme="minorHAnsi" w:hAnsiTheme="minorHAnsi"/>
              </w:rPr>
              <w:t xml:space="preserve">The rent for lease of the Premises shall be EUR </w:t>
            </w:r>
            <w:r w:rsidR="00084D51">
              <w:rPr>
                <w:rFonts w:asciiTheme="minorHAnsi" w:hAnsiTheme="minorHAnsi"/>
              </w:rPr>
              <w:t>…….</w:t>
            </w:r>
            <w:r w:rsidR="004D7744">
              <w:rPr>
                <w:rFonts w:asciiTheme="minorHAnsi" w:hAnsiTheme="minorHAnsi"/>
              </w:rPr>
              <w:t xml:space="preserve"> </w:t>
            </w:r>
            <w:r w:rsidRPr="00F36588">
              <w:rPr>
                <w:rFonts w:asciiTheme="minorHAnsi" w:hAnsiTheme="minorHAnsi"/>
              </w:rPr>
              <w:t>/month (“</w:t>
            </w:r>
            <w:r w:rsidRPr="00F36588">
              <w:rPr>
                <w:rFonts w:asciiTheme="minorHAnsi" w:hAnsiTheme="minorHAnsi"/>
                <w:b/>
              </w:rPr>
              <w:t>Rent</w:t>
            </w:r>
            <w:r w:rsidRPr="00F36588">
              <w:rPr>
                <w:rFonts w:asciiTheme="minorHAnsi" w:hAnsiTheme="minorHAnsi"/>
              </w:rPr>
              <w:t xml:space="preserve">”) </w:t>
            </w:r>
            <w:r>
              <w:rPr>
                <w:rFonts w:asciiTheme="minorHAnsi" w:hAnsiTheme="minorHAnsi"/>
              </w:rPr>
              <w:t>plus</w:t>
            </w:r>
            <w:r w:rsidRPr="00F36588">
              <w:rPr>
                <w:rFonts w:asciiTheme="minorHAnsi" w:hAnsiTheme="minorHAnsi"/>
              </w:rPr>
              <w:t xml:space="preserve"> value added tax and any other similar tax (“</w:t>
            </w:r>
            <w:r w:rsidRPr="00F36588">
              <w:rPr>
                <w:rFonts w:asciiTheme="minorHAnsi" w:hAnsiTheme="minorHAnsi"/>
                <w:b/>
              </w:rPr>
              <w:t>VAT</w:t>
            </w:r>
            <w:r w:rsidRPr="00F36588">
              <w:rPr>
                <w:rFonts w:asciiTheme="minorHAnsi" w:hAnsiTheme="minorHAnsi"/>
              </w:rPr>
              <w:t xml:space="preserve">”). The Rent shall be payable from the Rent Commencement Date (as defined below), </w:t>
            </w:r>
            <w:r w:rsidR="00905897">
              <w:rPr>
                <w:rFonts w:asciiTheme="minorHAnsi" w:hAnsiTheme="minorHAnsi"/>
              </w:rPr>
              <w:t xml:space="preserve">quarterly </w:t>
            </w:r>
            <w:r w:rsidRPr="00F36588">
              <w:rPr>
                <w:rFonts w:asciiTheme="minorHAnsi" w:hAnsiTheme="minorHAnsi"/>
              </w:rPr>
              <w:t>in advance, as of the 15</w:t>
            </w:r>
            <w:r w:rsidRPr="00F36588">
              <w:rPr>
                <w:rFonts w:asciiTheme="minorHAnsi" w:hAnsiTheme="minorHAnsi"/>
                <w:vertAlign w:val="superscript"/>
              </w:rPr>
              <w:t>th</w:t>
            </w:r>
            <w:r w:rsidRPr="00F36588">
              <w:rPr>
                <w:rFonts w:asciiTheme="minorHAnsi" w:hAnsiTheme="minorHAnsi"/>
              </w:rPr>
              <w:t xml:space="preserve"> day </w:t>
            </w:r>
            <w:r w:rsidR="004D7744">
              <w:rPr>
                <w:rFonts w:asciiTheme="minorHAnsi" w:hAnsiTheme="minorHAnsi"/>
              </w:rPr>
              <w:t xml:space="preserve">of the calendar month </w:t>
            </w:r>
            <w:r w:rsidR="00905897">
              <w:rPr>
                <w:rFonts w:asciiTheme="minorHAnsi" w:hAnsiTheme="minorHAnsi"/>
              </w:rPr>
              <w:t xml:space="preserve">preceding </w:t>
            </w:r>
            <w:r w:rsidR="004D7744">
              <w:rPr>
                <w:rFonts w:asciiTheme="minorHAnsi" w:hAnsiTheme="minorHAnsi"/>
              </w:rPr>
              <w:t>c</w:t>
            </w:r>
            <w:r w:rsidR="00905897">
              <w:rPr>
                <w:rFonts w:asciiTheme="minorHAnsi" w:hAnsiTheme="minorHAnsi"/>
              </w:rPr>
              <w:t xml:space="preserve">alendar </w:t>
            </w:r>
            <w:r w:rsidR="00EC3E7B">
              <w:rPr>
                <w:rFonts w:asciiTheme="minorHAnsi" w:hAnsiTheme="minorHAnsi"/>
              </w:rPr>
              <w:t>quarter</w:t>
            </w:r>
            <w:r w:rsidRPr="00F36588">
              <w:rPr>
                <w:rFonts w:asciiTheme="minorHAnsi" w:hAnsiTheme="minorHAnsi"/>
              </w:rPr>
              <w:t xml:space="preserve">, </w:t>
            </w:r>
            <w:r w:rsidR="007C5F65">
              <w:rPr>
                <w:rFonts w:asciiTheme="minorHAnsi" w:hAnsiTheme="minorHAnsi"/>
              </w:rPr>
              <w:t xml:space="preserve">for which the Rent is paid, </w:t>
            </w:r>
            <w:r w:rsidRPr="00F36588">
              <w:rPr>
                <w:rFonts w:asciiTheme="minorHAnsi" w:hAnsiTheme="minorHAnsi"/>
              </w:rPr>
              <w:t xml:space="preserve">to the account of the Lessor </w:t>
            </w:r>
            <w:r>
              <w:rPr>
                <w:rFonts w:asciiTheme="minorHAnsi" w:hAnsiTheme="minorHAnsi"/>
              </w:rPr>
              <w:t>IBAN:</w:t>
            </w:r>
            <w:r w:rsidRPr="00F36588">
              <w:rPr>
                <w:rFonts w:asciiTheme="minorHAnsi" w:hAnsiTheme="minorHAnsi"/>
              </w:rPr>
              <w:t xml:space="preserve"> </w:t>
            </w:r>
            <w:r w:rsidR="00084D51">
              <w:rPr>
                <w:rFonts w:asciiTheme="minorHAnsi" w:hAnsiTheme="minorHAnsi"/>
              </w:rPr>
              <w:t>……..</w:t>
            </w:r>
            <w:r w:rsidRPr="00F36588">
              <w:rPr>
                <w:rFonts w:asciiTheme="minorHAnsi" w:hAnsiTheme="minorHAnsi"/>
              </w:rPr>
              <w:t xml:space="preserve"> or to any such other account held in a bank or a bank branch in the Slovak Republic as may be designated by the Lessor in writing.</w:t>
            </w:r>
            <w:bookmarkEnd w:id="0"/>
          </w:p>
        </w:tc>
        <w:tc>
          <w:tcPr>
            <w:tcW w:w="4699" w:type="dxa"/>
          </w:tcPr>
          <w:p w14:paraId="2FF98F9F" w14:textId="0BA4A9A7" w:rsidR="00432CAD" w:rsidRPr="00EA72E7" w:rsidRDefault="00432CAD" w:rsidP="00084D51">
            <w:pPr>
              <w:pStyle w:val="SKAgreementL2"/>
              <w:rPr>
                <w:rFonts w:asciiTheme="minorHAnsi" w:hAnsiTheme="minorHAnsi"/>
                <w:lang w:val="sk-SK"/>
              </w:rPr>
            </w:pPr>
            <w:bookmarkStart w:id="1" w:name="_Ref410976937"/>
            <w:r w:rsidRPr="00EA72E7">
              <w:rPr>
                <w:rFonts w:asciiTheme="minorHAnsi" w:hAnsiTheme="minorHAnsi"/>
                <w:lang w:val="sk-SK"/>
              </w:rPr>
              <w:t xml:space="preserve">Nájomné za prenájom Priestorov je </w:t>
            </w:r>
            <w:r w:rsidR="00084D51">
              <w:rPr>
                <w:rFonts w:asciiTheme="minorHAnsi" w:hAnsiTheme="minorHAnsi"/>
                <w:lang w:val="sk-SK"/>
              </w:rPr>
              <w:t>.......</w:t>
            </w:r>
            <w:r w:rsidR="004D7744">
              <w:rPr>
                <w:rFonts w:asciiTheme="minorHAnsi" w:hAnsiTheme="minorHAnsi"/>
                <w:lang w:val="sk-SK"/>
              </w:rPr>
              <w:t>,-</w:t>
            </w:r>
            <w:r w:rsidRPr="00EA72E7">
              <w:rPr>
                <w:rFonts w:asciiTheme="minorHAnsi" w:hAnsiTheme="minorHAnsi"/>
                <w:lang w:val="sk-SK"/>
              </w:rPr>
              <w:t xml:space="preserve"> EUR/mesiac („</w:t>
            </w:r>
            <w:r w:rsidRPr="00EA72E7">
              <w:rPr>
                <w:rFonts w:asciiTheme="minorHAnsi" w:hAnsiTheme="minorHAnsi"/>
                <w:b/>
                <w:lang w:val="sk-SK"/>
              </w:rPr>
              <w:t>Nájomné</w:t>
            </w:r>
            <w:r w:rsidRPr="00EA72E7">
              <w:rPr>
                <w:rFonts w:asciiTheme="minorHAnsi" w:hAnsiTheme="minorHAnsi"/>
                <w:lang w:val="sk-SK"/>
              </w:rPr>
              <w:t>“) plus daň z pridanej hodnoty alebo akákoľvek iná podobná daň („</w:t>
            </w:r>
            <w:r w:rsidRPr="00EA72E7">
              <w:rPr>
                <w:rFonts w:asciiTheme="minorHAnsi" w:hAnsiTheme="minorHAnsi"/>
                <w:b/>
                <w:lang w:val="sk-SK"/>
              </w:rPr>
              <w:t>DPH</w:t>
            </w:r>
            <w:r w:rsidRPr="00EA72E7">
              <w:rPr>
                <w:rFonts w:asciiTheme="minorHAnsi" w:hAnsiTheme="minorHAnsi"/>
                <w:lang w:val="sk-SK"/>
              </w:rPr>
              <w:t xml:space="preserve">“). Nájomné je splatné odo Dňa začiatku nájomného (ako je definovaný nižšie), </w:t>
            </w:r>
            <w:r w:rsidR="00905897">
              <w:rPr>
                <w:rFonts w:asciiTheme="minorHAnsi" w:hAnsiTheme="minorHAnsi"/>
                <w:lang w:val="sk-SK"/>
              </w:rPr>
              <w:t>štvrťročne</w:t>
            </w:r>
            <w:r w:rsidR="00905897" w:rsidRPr="00EA72E7">
              <w:rPr>
                <w:rFonts w:asciiTheme="minorHAnsi" w:hAnsiTheme="minorHAnsi"/>
                <w:lang w:val="sk-SK"/>
              </w:rPr>
              <w:t xml:space="preserve"> </w:t>
            </w:r>
            <w:r w:rsidRPr="00EA72E7">
              <w:rPr>
                <w:rFonts w:asciiTheme="minorHAnsi" w:hAnsiTheme="minorHAnsi"/>
                <w:lang w:val="sk-SK"/>
              </w:rPr>
              <w:t>vopred, vždy k 15-temu dňu</w:t>
            </w:r>
            <w:r w:rsidR="00905897">
              <w:rPr>
                <w:rFonts w:asciiTheme="minorHAnsi" w:hAnsiTheme="minorHAnsi"/>
                <w:lang w:val="sk-SK"/>
              </w:rPr>
              <w:t xml:space="preserve"> </w:t>
            </w:r>
            <w:r w:rsidR="004D7744">
              <w:rPr>
                <w:rFonts w:asciiTheme="minorHAnsi" w:hAnsiTheme="minorHAnsi"/>
                <w:lang w:val="sk-SK"/>
              </w:rPr>
              <w:t xml:space="preserve">kalendárneho mesiaca </w:t>
            </w:r>
            <w:r w:rsidR="00905897">
              <w:rPr>
                <w:rFonts w:asciiTheme="minorHAnsi" w:hAnsiTheme="minorHAnsi"/>
                <w:lang w:val="sk-SK"/>
              </w:rPr>
              <w:t>predchádzajúce</w:t>
            </w:r>
            <w:r w:rsidR="004D7744">
              <w:rPr>
                <w:rFonts w:asciiTheme="minorHAnsi" w:hAnsiTheme="minorHAnsi"/>
                <w:lang w:val="sk-SK"/>
              </w:rPr>
              <w:t>ho</w:t>
            </w:r>
            <w:r w:rsidR="00905897">
              <w:rPr>
                <w:rFonts w:asciiTheme="minorHAnsi" w:hAnsiTheme="minorHAnsi"/>
                <w:lang w:val="sk-SK"/>
              </w:rPr>
              <w:t xml:space="preserve"> </w:t>
            </w:r>
            <w:r w:rsidR="004D7744">
              <w:rPr>
                <w:rFonts w:asciiTheme="minorHAnsi" w:hAnsiTheme="minorHAnsi"/>
                <w:lang w:val="sk-SK"/>
              </w:rPr>
              <w:t>k</w:t>
            </w:r>
            <w:r w:rsidR="00905897">
              <w:rPr>
                <w:rFonts w:asciiTheme="minorHAnsi" w:hAnsiTheme="minorHAnsi"/>
                <w:lang w:val="sk-SK"/>
              </w:rPr>
              <w:t>alendárnemu štvrťroku</w:t>
            </w:r>
            <w:r>
              <w:rPr>
                <w:rFonts w:asciiTheme="minorHAnsi" w:hAnsiTheme="minorHAnsi"/>
                <w:lang w:val="sk-SK"/>
              </w:rPr>
              <w:t xml:space="preserve">, </w:t>
            </w:r>
            <w:r w:rsidR="007C5F65">
              <w:rPr>
                <w:rFonts w:asciiTheme="minorHAnsi" w:hAnsiTheme="minorHAnsi"/>
                <w:lang w:val="sk-SK"/>
              </w:rPr>
              <w:t xml:space="preserve">za ktorý sa Nájomné platí, </w:t>
            </w:r>
            <w:r>
              <w:rPr>
                <w:rFonts w:asciiTheme="minorHAnsi" w:hAnsiTheme="minorHAnsi"/>
                <w:lang w:val="sk-SK"/>
              </w:rPr>
              <w:t>na účet Prenajímateľa IBAN:</w:t>
            </w:r>
            <w:r w:rsidRPr="00EA72E7">
              <w:rPr>
                <w:rFonts w:asciiTheme="minorHAnsi" w:hAnsiTheme="minorHAnsi"/>
                <w:lang w:val="sk-SK"/>
              </w:rPr>
              <w:t> </w:t>
            </w:r>
            <w:r w:rsidR="00084D51">
              <w:rPr>
                <w:rFonts w:asciiTheme="minorHAnsi" w:hAnsiTheme="minorHAnsi"/>
                <w:lang w:val="sk-SK"/>
              </w:rPr>
              <w:t>.........</w:t>
            </w:r>
            <w:r w:rsidRPr="00EA72E7">
              <w:rPr>
                <w:rFonts w:asciiTheme="minorHAnsi" w:hAnsiTheme="minorHAnsi"/>
                <w:lang w:val="sk-SK"/>
              </w:rPr>
              <w:t xml:space="preserve"> alebo na akýkoľvek taký iný účet vedený v banke resp. pobočke banky v Slovenskej republike, ktorý môže byť písomne určený Prenajímateľom.</w:t>
            </w:r>
            <w:bookmarkEnd w:id="1"/>
          </w:p>
        </w:tc>
      </w:tr>
      <w:tr w:rsidR="00432CAD" w:rsidRPr="0090766C" w14:paraId="26FEFC66" w14:textId="77777777" w:rsidTr="002F2988">
        <w:tc>
          <w:tcPr>
            <w:tcW w:w="4697" w:type="dxa"/>
          </w:tcPr>
          <w:p w14:paraId="046C7CD4" w14:textId="0A17AF8C" w:rsidR="00432CAD" w:rsidRPr="00F36588" w:rsidRDefault="00FF2034" w:rsidP="00850245">
            <w:pPr>
              <w:pStyle w:val="ENAgreementL2"/>
              <w:numPr>
                <w:ilvl w:val="1"/>
                <w:numId w:val="2"/>
              </w:numPr>
              <w:rPr>
                <w:rFonts w:asciiTheme="minorHAnsi" w:hAnsiTheme="minorHAnsi"/>
              </w:rPr>
            </w:pPr>
            <w:bookmarkStart w:id="2" w:name="_Ref383354611"/>
            <w:r w:rsidRPr="00F36588">
              <w:rPr>
                <w:rFonts w:asciiTheme="minorHAnsi" w:hAnsiTheme="minorHAnsi"/>
              </w:rPr>
              <w:t xml:space="preserve">The Tenant shall pay the Rent from </w:t>
            </w:r>
            <w:r w:rsidR="008F6DBC">
              <w:rPr>
                <w:rFonts w:asciiTheme="minorHAnsi" w:hAnsiTheme="minorHAnsi"/>
              </w:rPr>
              <w:t xml:space="preserve">December </w:t>
            </w:r>
            <w:r>
              <w:rPr>
                <w:rFonts w:asciiTheme="minorHAnsi" w:hAnsiTheme="minorHAnsi"/>
              </w:rPr>
              <w:t>1</w:t>
            </w:r>
            <w:r>
              <w:rPr>
                <w:rFonts w:asciiTheme="minorHAnsi" w:hAnsiTheme="minorHAnsi"/>
                <w:vertAlign w:val="superscript"/>
              </w:rPr>
              <w:t>st</w:t>
            </w:r>
            <w:r>
              <w:rPr>
                <w:rFonts w:asciiTheme="minorHAnsi" w:hAnsiTheme="minorHAnsi"/>
              </w:rPr>
              <w:t>, 2018</w:t>
            </w:r>
            <w:r w:rsidRPr="00F36588">
              <w:rPr>
                <w:rFonts w:asciiTheme="minorHAnsi" w:hAnsiTheme="minorHAnsi"/>
              </w:rPr>
              <w:t xml:space="preserve"> (“</w:t>
            </w:r>
            <w:r w:rsidRPr="00F36588">
              <w:rPr>
                <w:rFonts w:asciiTheme="minorHAnsi" w:hAnsiTheme="minorHAnsi"/>
                <w:b/>
              </w:rPr>
              <w:t>Rent Commencement Date</w:t>
            </w:r>
            <w:r w:rsidRPr="00F36588">
              <w:rPr>
                <w:rFonts w:asciiTheme="minorHAnsi" w:hAnsiTheme="minorHAnsi"/>
              </w:rPr>
              <w:t>”).</w:t>
            </w:r>
            <w:bookmarkEnd w:id="2"/>
          </w:p>
        </w:tc>
        <w:tc>
          <w:tcPr>
            <w:tcW w:w="4699" w:type="dxa"/>
          </w:tcPr>
          <w:p w14:paraId="50FD785A" w14:textId="5001F53A" w:rsidR="00432CAD" w:rsidRPr="007C5F65" w:rsidRDefault="00FF2034" w:rsidP="004A3FE6">
            <w:pPr>
              <w:pStyle w:val="SKAgreementL2"/>
              <w:rPr>
                <w:rFonts w:asciiTheme="minorHAnsi" w:hAnsiTheme="minorHAnsi"/>
                <w:lang w:val="sk-SK"/>
              </w:rPr>
            </w:pPr>
            <w:bookmarkStart w:id="3" w:name="_Ref383354799"/>
            <w:r w:rsidRPr="007C5F65">
              <w:rPr>
                <w:rFonts w:asciiTheme="minorHAnsi" w:hAnsiTheme="minorHAnsi"/>
                <w:lang w:val="sk-SK"/>
              </w:rPr>
              <w:t xml:space="preserve">Nájomca je povinný platiť Nájomné od </w:t>
            </w:r>
            <w:r w:rsidRPr="000E761A">
              <w:rPr>
                <w:rFonts w:asciiTheme="minorHAnsi" w:hAnsiTheme="minorHAnsi"/>
                <w:lang w:val="sk-SK"/>
              </w:rPr>
              <w:t>0</w:t>
            </w:r>
            <w:r>
              <w:rPr>
                <w:rFonts w:asciiTheme="minorHAnsi" w:hAnsiTheme="minorHAnsi"/>
                <w:lang w:val="sk-SK"/>
              </w:rPr>
              <w:t>1</w:t>
            </w:r>
            <w:r w:rsidRPr="000E761A">
              <w:rPr>
                <w:rFonts w:asciiTheme="minorHAnsi" w:hAnsiTheme="minorHAnsi"/>
                <w:lang w:val="sk-SK"/>
              </w:rPr>
              <w:t xml:space="preserve">. </w:t>
            </w:r>
            <w:r w:rsidR="008F6DBC">
              <w:rPr>
                <w:rFonts w:asciiTheme="minorHAnsi" w:hAnsiTheme="minorHAnsi"/>
                <w:lang w:val="sk-SK"/>
              </w:rPr>
              <w:t>decembra</w:t>
            </w:r>
            <w:r w:rsidR="008F6DBC" w:rsidRPr="000E761A">
              <w:rPr>
                <w:rFonts w:asciiTheme="minorHAnsi" w:hAnsiTheme="minorHAnsi"/>
                <w:lang w:val="sk-SK"/>
              </w:rPr>
              <w:t xml:space="preserve"> </w:t>
            </w:r>
            <w:r w:rsidRPr="000E761A">
              <w:rPr>
                <w:rFonts w:asciiTheme="minorHAnsi" w:hAnsiTheme="minorHAnsi"/>
                <w:lang w:val="sk-SK"/>
              </w:rPr>
              <w:t>2018</w:t>
            </w:r>
            <w:r w:rsidRPr="007C5F65">
              <w:rPr>
                <w:rFonts w:asciiTheme="minorHAnsi" w:hAnsiTheme="minorHAnsi"/>
                <w:lang w:val="sk-SK"/>
              </w:rPr>
              <w:t xml:space="preserve"> („</w:t>
            </w:r>
            <w:r w:rsidRPr="007C5F65">
              <w:rPr>
                <w:rFonts w:asciiTheme="minorHAnsi" w:hAnsiTheme="minorHAnsi"/>
                <w:b/>
                <w:lang w:val="sk-SK"/>
              </w:rPr>
              <w:t>Deň začiatku nájomného</w:t>
            </w:r>
            <w:r w:rsidRPr="007C5F65">
              <w:rPr>
                <w:rFonts w:asciiTheme="minorHAnsi" w:hAnsiTheme="minorHAnsi"/>
                <w:lang w:val="sk-SK"/>
              </w:rPr>
              <w:t>“).</w:t>
            </w:r>
            <w:bookmarkEnd w:id="3"/>
          </w:p>
        </w:tc>
      </w:tr>
      <w:tr w:rsidR="00677E28" w:rsidRPr="0090766C" w14:paraId="7082B70B" w14:textId="2A32B0AE" w:rsidTr="002F2988">
        <w:tc>
          <w:tcPr>
            <w:tcW w:w="4697" w:type="dxa"/>
          </w:tcPr>
          <w:p w14:paraId="5FFF46B3" w14:textId="1F182C56" w:rsidR="00677E28" w:rsidRPr="00F36588" w:rsidRDefault="00677E28" w:rsidP="00084D51">
            <w:pPr>
              <w:pStyle w:val="ENAgreementL2"/>
              <w:numPr>
                <w:ilvl w:val="1"/>
                <w:numId w:val="2"/>
              </w:numPr>
              <w:rPr>
                <w:rFonts w:asciiTheme="minorHAnsi" w:hAnsiTheme="minorHAnsi"/>
              </w:rPr>
            </w:pPr>
            <w:r>
              <w:rPr>
                <w:rFonts w:asciiTheme="minorHAnsi" w:hAnsiTheme="minorHAnsi"/>
              </w:rPr>
              <w:t xml:space="preserve">Notwithstanding Section 2.1 and 2.2 </w:t>
            </w:r>
            <w:r w:rsidR="00D400F7">
              <w:rPr>
                <w:rFonts w:asciiTheme="minorHAnsi" w:hAnsiTheme="minorHAnsi"/>
              </w:rPr>
              <w:t>t</w:t>
            </w:r>
            <w:r w:rsidRPr="00F36588">
              <w:rPr>
                <w:rFonts w:asciiTheme="minorHAnsi" w:hAnsiTheme="minorHAnsi"/>
              </w:rPr>
              <w:t xml:space="preserve">he Tenant shall pay the Rent in the amount of EUR </w:t>
            </w:r>
            <w:r w:rsidR="00084D51">
              <w:rPr>
                <w:rFonts w:asciiTheme="minorHAnsi" w:hAnsiTheme="minorHAnsi"/>
              </w:rPr>
              <w:t>…….</w:t>
            </w:r>
            <w:r w:rsidRPr="00F36588">
              <w:rPr>
                <w:rFonts w:asciiTheme="minorHAnsi" w:hAnsiTheme="minorHAnsi"/>
              </w:rPr>
              <w:t xml:space="preserve"> </w:t>
            </w:r>
            <w:r>
              <w:rPr>
                <w:rFonts w:asciiTheme="minorHAnsi" w:hAnsiTheme="minorHAnsi"/>
              </w:rPr>
              <w:t>plus</w:t>
            </w:r>
            <w:r w:rsidRPr="00F36588">
              <w:rPr>
                <w:rFonts w:asciiTheme="minorHAnsi" w:hAnsiTheme="minorHAnsi"/>
              </w:rPr>
              <w:t xml:space="preserve"> VAT for the first calendar </w:t>
            </w:r>
            <w:r w:rsidR="002136B9">
              <w:rPr>
                <w:rFonts w:asciiTheme="minorHAnsi" w:hAnsiTheme="minorHAnsi"/>
              </w:rPr>
              <w:t>quarter</w:t>
            </w:r>
            <w:r w:rsidR="002136B9" w:rsidRPr="00F36588">
              <w:rPr>
                <w:rFonts w:asciiTheme="minorHAnsi" w:hAnsiTheme="minorHAnsi"/>
              </w:rPr>
              <w:t xml:space="preserve"> </w:t>
            </w:r>
            <w:r w:rsidRPr="00F36588">
              <w:rPr>
                <w:rFonts w:asciiTheme="minorHAnsi" w:hAnsiTheme="minorHAnsi"/>
              </w:rPr>
              <w:t xml:space="preserve">of the Term </w:t>
            </w:r>
            <w:r>
              <w:rPr>
                <w:rFonts w:asciiTheme="minorHAnsi" w:hAnsiTheme="minorHAnsi"/>
              </w:rPr>
              <w:t xml:space="preserve">(i.e. </w:t>
            </w:r>
            <w:r w:rsidRPr="000E761A">
              <w:rPr>
                <w:rFonts w:asciiTheme="minorHAnsi" w:hAnsiTheme="minorHAnsi"/>
              </w:rPr>
              <w:t xml:space="preserve">for the period from </w:t>
            </w:r>
            <w:r w:rsidR="002136B9">
              <w:rPr>
                <w:rFonts w:asciiTheme="minorHAnsi" w:hAnsiTheme="minorHAnsi"/>
              </w:rPr>
              <w:t>December</w:t>
            </w:r>
            <w:r w:rsidR="002136B9" w:rsidRPr="000E761A">
              <w:rPr>
                <w:rFonts w:asciiTheme="minorHAnsi" w:hAnsiTheme="minorHAnsi"/>
              </w:rPr>
              <w:t xml:space="preserve"> </w:t>
            </w:r>
            <w:r>
              <w:rPr>
                <w:rFonts w:asciiTheme="minorHAnsi" w:hAnsiTheme="minorHAnsi"/>
              </w:rPr>
              <w:t>1</w:t>
            </w:r>
            <w:r>
              <w:rPr>
                <w:rFonts w:asciiTheme="minorHAnsi" w:hAnsiTheme="minorHAnsi"/>
                <w:vertAlign w:val="superscript"/>
              </w:rPr>
              <w:t>st</w:t>
            </w:r>
            <w:r w:rsidRPr="000E761A">
              <w:rPr>
                <w:rFonts w:asciiTheme="minorHAnsi" w:hAnsiTheme="minorHAnsi"/>
              </w:rPr>
              <w:t xml:space="preserve">, 2018 to </w:t>
            </w:r>
            <w:r w:rsidR="003D6F05">
              <w:rPr>
                <w:rFonts w:asciiTheme="minorHAnsi" w:hAnsiTheme="minorHAnsi"/>
              </w:rPr>
              <w:t>December</w:t>
            </w:r>
            <w:r w:rsidR="002136B9">
              <w:rPr>
                <w:rFonts w:asciiTheme="minorHAnsi" w:hAnsiTheme="minorHAnsi"/>
              </w:rPr>
              <w:t xml:space="preserve"> </w:t>
            </w:r>
            <w:r w:rsidR="003D6F05">
              <w:rPr>
                <w:rFonts w:asciiTheme="minorHAnsi" w:hAnsiTheme="minorHAnsi"/>
              </w:rPr>
              <w:t>31</w:t>
            </w:r>
            <w:r w:rsidR="003D6F05">
              <w:rPr>
                <w:rFonts w:asciiTheme="minorHAnsi" w:hAnsiTheme="minorHAnsi"/>
                <w:vertAlign w:val="superscript"/>
              </w:rPr>
              <w:t>st</w:t>
            </w:r>
            <w:r w:rsidRPr="000E761A">
              <w:rPr>
                <w:rFonts w:asciiTheme="minorHAnsi" w:hAnsiTheme="minorHAnsi"/>
              </w:rPr>
              <w:t>, 201</w:t>
            </w:r>
            <w:r w:rsidR="003D6F05">
              <w:rPr>
                <w:rFonts w:asciiTheme="minorHAnsi" w:hAnsiTheme="minorHAnsi"/>
              </w:rPr>
              <w:t>8</w:t>
            </w:r>
            <w:r>
              <w:rPr>
                <w:rFonts w:asciiTheme="minorHAnsi" w:hAnsiTheme="minorHAnsi"/>
              </w:rPr>
              <w:t>)</w:t>
            </w:r>
            <w:r w:rsidRPr="000E761A">
              <w:rPr>
                <w:rFonts w:asciiTheme="minorHAnsi" w:hAnsiTheme="minorHAnsi"/>
              </w:rPr>
              <w:t xml:space="preserve"> within five (5) business days from the execution hereof</w:t>
            </w:r>
            <w:r w:rsidRPr="00F36588">
              <w:rPr>
                <w:rFonts w:asciiTheme="minorHAnsi" w:hAnsiTheme="minorHAnsi"/>
              </w:rPr>
              <w:t>.</w:t>
            </w:r>
          </w:p>
        </w:tc>
        <w:tc>
          <w:tcPr>
            <w:tcW w:w="4699" w:type="dxa"/>
          </w:tcPr>
          <w:p w14:paraId="5F48376A" w14:textId="0129AD75" w:rsidR="00677E28" w:rsidRPr="007C5F65" w:rsidRDefault="00677E28" w:rsidP="00084D51">
            <w:pPr>
              <w:pStyle w:val="SKAgreementL2"/>
              <w:rPr>
                <w:rFonts w:asciiTheme="minorHAnsi" w:hAnsiTheme="minorHAnsi"/>
              </w:rPr>
            </w:pPr>
            <w:r>
              <w:rPr>
                <w:rFonts w:asciiTheme="minorHAnsi" w:hAnsiTheme="minorHAnsi"/>
                <w:lang w:val="sk-SK"/>
              </w:rPr>
              <w:t xml:space="preserve">Bez ohľadu na odsek 2.1 a 2.2 </w:t>
            </w:r>
            <w:r w:rsidRPr="007C5F65">
              <w:rPr>
                <w:rFonts w:asciiTheme="minorHAnsi" w:hAnsiTheme="minorHAnsi"/>
                <w:lang w:val="sk-SK"/>
              </w:rPr>
              <w:t xml:space="preserve">Nájomca je povinný zaplatiť Nájomné vo výške </w:t>
            </w:r>
            <w:r w:rsidR="00084D51">
              <w:rPr>
                <w:rFonts w:asciiTheme="minorHAnsi" w:hAnsiTheme="minorHAnsi"/>
                <w:lang w:val="sk-SK"/>
              </w:rPr>
              <w:t>.......</w:t>
            </w:r>
            <w:r w:rsidR="00011B16">
              <w:rPr>
                <w:rFonts w:asciiTheme="minorHAnsi" w:hAnsiTheme="minorHAnsi"/>
                <w:lang w:val="sk-SK"/>
              </w:rPr>
              <w:t>,-</w:t>
            </w:r>
            <w:r w:rsidRPr="007C5F65">
              <w:rPr>
                <w:rFonts w:asciiTheme="minorHAnsi" w:hAnsiTheme="minorHAnsi"/>
                <w:lang w:val="sk-SK"/>
              </w:rPr>
              <w:t xml:space="preserve"> EUR plus DPH za prvý kalendárny </w:t>
            </w:r>
            <w:r w:rsidR="003D6F05">
              <w:rPr>
                <w:rFonts w:asciiTheme="minorHAnsi" w:hAnsiTheme="minorHAnsi"/>
                <w:lang w:val="sk-SK"/>
              </w:rPr>
              <w:t>štvrťrok</w:t>
            </w:r>
            <w:r w:rsidR="003D6F05" w:rsidRPr="007C5F65">
              <w:rPr>
                <w:rFonts w:asciiTheme="minorHAnsi" w:hAnsiTheme="minorHAnsi"/>
                <w:lang w:val="sk-SK"/>
              </w:rPr>
              <w:t xml:space="preserve"> </w:t>
            </w:r>
            <w:r w:rsidRPr="007C5F65">
              <w:rPr>
                <w:rFonts w:asciiTheme="minorHAnsi" w:hAnsiTheme="minorHAnsi"/>
                <w:lang w:val="sk-SK"/>
              </w:rPr>
              <w:t xml:space="preserve">Doby nájmu </w:t>
            </w:r>
            <w:r>
              <w:rPr>
                <w:rFonts w:asciiTheme="minorHAnsi" w:hAnsiTheme="minorHAnsi"/>
                <w:lang w:val="sk-SK"/>
              </w:rPr>
              <w:t xml:space="preserve">(t.j. </w:t>
            </w:r>
            <w:r w:rsidRPr="000E761A">
              <w:rPr>
                <w:rFonts w:asciiTheme="minorHAnsi" w:hAnsiTheme="minorHAnsi"/>
                <w:lang w:val="sk-SK"/>
              </w:rPr>
              <w:t>za obdobie od 0</w:t>
            </w:r>
            <w:r>
              <w:rPr>
                <w:rFonts w:asciiTheme="minorHAnsi" w:hAnsiTheme="minorHAnsi"/>
                <w:lang w:val="sk-SK"/>
              </w:rPr>
              <w:t>1</w:t>
            </w:r>
            <w:r w:rsidRPr="000E761A">
              <w:rPr>
                <w:rFonts w:asciiTheme="minorHAnsi" w:hAnsiTheme="minorHAnsi"/>
                <w:lang w:val="sk-SK"/>
              </w:rPr>
              <w:t xml:space="preserve">. </w:t>
            </w:r>
            <w:r w:rsidR="002136B9">
              <w:rPr>
                <w:rFonts w:asciiTheme="minorHAnsi" w:hAnsiTheme="minorHAnsi"/>
                <w:lang w:val="sk-SK"/>
              </w:rPr>
              <w:t>decembra</w:t>
            </w:r>
            <w:r w:rsidR="002136B9" w:rsidRPr="000E761A">
              <w:rPr>
                <w:rFonts w:asciiTheme="minorHAnsi" w:hAnsiTheme="minorHAnsi"/>
                <w:lang w:val="sk-SK"/>
              </w:rPr>
              <w:t xml:space="preserve"> </w:t>
            </w:r>
            <w:r w:rsidRPr="000E761A">
              <w:rPr>
                <w:rFonts w:asciiTheme="minorHAnsi" w:hAnsiTheme="minorHAnsi"/>
                <w:lang w:val="sk-SK"/>
              </w:rPr>
              <w:t xml:space="preserve">2018 do </w:t>
            </w:r>
            <w:r w:rsidR="003D6F05">
              <w:rPr>
                <w:rFonts w:asciiTheme="minorHAnsi" w:hAnsiTheme="minorHAnsi"/>
                <w:lang w:val="sk-SK"/>
              </w:rPr>
              <w:t>31</w:t>
            </w:r>
            <w:r w:rsidRPr="000E761A">
              <w:rPr>
                <w:rFonts w:asciiTheme="minorHAnsi" w:hAnsiTheme="minorHAnsi"/>
                <w:lang w:val="sk-SK"/>
              </w:rPr>
              <w:t xml:space="preserve">. </w:t>
            </w:r>
            <w:r w:rsidR="003D6F05">
              <w:rPr>
                <w:rFonts w:asciiTheme="minorHAnsi" w:hAnsiTheme="minorHAnsi"/>
                <w:lang w:val="sk-SK"/>
              </w:rPr>
              <w:t>decembra</w:t>
            </w:r>
            <w:r w:rsidR="002136B9">
              <w:rPr>
                <w:rFonts w:asciiTheme="minorHAnsi" w:hAnsiTheme="minorHAnsi"/>
                <w:lang w:val="sk-SK"/>
              </w:rPr>
              <w:t xml:space="preserve"> </w:t>
            </w:r>
            <w:r>
              <w:rPr>
                <w:rFonts w:asciiTheme="minorHAnsi" w:hAnsiTheme="minorHAnsi"/>
                <w:lang w:val="sk-SK"/>
              </w:rPr>
              <w:t>201</w:t>
            </w:r>
            <w:r w:rsidR="003D6F05">
              <w:rPr>
                <w:rFonts w:asciiTheme="minorHAnsi" w:hAnsiTheme="minorHAnsi"/>
                <w:lang w:val="sk-SK"/>
              </w:rPr>
              <w:t>8</w:t>
            </w:r>
            <w:r>
              <w:rPr>
                <w:rFonts w:asciiTheme="minorHAnsi" w:hAnsiTheme="minorHAnsi"/>
                <w:lang w:val="sk-SK"/>
              </w:rPr>
              <w:t xml:space="preserve">) </w:t>
            </w:r>
            <w:r w:rsidRPr="000E761A">
              <w:rPr>
                <w:rFonts w:asciiTheme="minorHAnsi" w:hAnsiTheme="minorHAnsi"/>
                <w:lang w:val="sk-SK"/>
              </w:rPr>
              <w:t>do piatich (5) pracovných dní od podpisu tejto Zmluvy</w:t>
            </w:r>
            <w:r w:rsidRPr="007C5F65">
              <w:rPr>
                <w:rFonts w:asciiTheme="minorHAnsi" w:hAnsiTheme="minorHAnsi"/>
                <w:lang w:val="sk-SK"/>
              </w:rPr>
              <w:t>.</w:t>
            </w:r>
          </w:p>
        </w:tc>
      </w:tr>
      <w:tr w:rsidR="00432CAD" w:rsidRPr="0090766C" w14:paraId="2055705F" w14:textId="77777777" w:rsidTr="002F2988">
        <w:tc>
          <w:tcPr>
            <w:tcW w:w="4697" w:type="dxa"/>
          </w:tcPr>
          <w:p w14:paraId="6119676D" w14:textId="2B7FD7E2" w:rsidR="00432CAD" w:rsidRPr="00F36588" w:rsidRDefault="00432CAD" w:rsidP="000B3E36">
            <w:pPr>
              <w:pStyle w:val="ENAgreementL2"/>
              <w:numPr>
                <w:ilvl w:val="1"/>
                <w:numId w:val="2"/>
              </w:numPr>
              <w:rPr>
                <w:rFonts w:asciiTheme="minorHAnsi" w:hAnsiTheme="minorHAnsi"/>
              </w:rPr>
            </w:pPr>
            <w:r w:rsidRPr="00F36588">
              <w:rPr>
                <w:rFonts w:asciiTheme="minorHAnsi" w:hAnsiTheme="minorHAnsi"/>
              </w:rPr>
              <w:t xml:space="preserve">The Tenant shall not pay any charges for provision of services related to lease, i.e. for electricity supply, </w:t>
            </w:r>
            <w:r>
              <w:rPr>
                <w:rFonts w:asciiTheme="minorHAnsi" w:hAnsiTheme="minorHAnsi"/>
              </w:rPr>
              <w:t>water supply and sewerage, heating,</w:t>
            </w:r>
            <w:r w:rsidRPr="00F36588">
              <w:rPr>
                <w:rFonts w:asciiTheme="minorHAnsi" w:hAnsiTheme="minorHAnsi"/>
              </w:rPr>
              <w:t xml:space="preserve"> cleaning of the Premises, waste liquidation, reception, guarding service and internet connection. Costs of these services shall be borne by the Lessor.</w:t>
            </w:r>
            <w:r>
              <w:rPr>
                <w:rFonts w:asciiTheme="minorHAnsi" w:hAnsiTheme="minorHAnsi"/>
              </w:rPr>
              <w:t xml:space="preserve"> The Tenant is entitled to use other services related to the lease and provided by the Lessor (hereinafter referred to as “</w:t>
            </w:r>
            <w:r w:rsidRPr="000E761A">
              <w:rPr>
                <w:rFonts w:asciiTheme="minorHAnsi" w:hAnsiTheme="minorHAnsi"/>
                <w:b/>
              </w:rPr>
              <w:t>Other services</w:t>
            </w:r>
            <w:r>
              <w:rPr>
                <w:rFonts w:asciiTheme="minorHAnsi" w:hAnsiTheme="minorHAnsi"/>
              </w:rPr>
              <w:t xml:space="preserve">”). Costs of Other services shall be borne by the Tenant pursuant </w:t>
            </w:r>
            <w:r>
              <w:rPr>
                <w:rFonts w:asciiTheme="minorHAnsi" w:hAnsiTheme="minorHAnsi"/>
              </w:rPr>
              <w:lastRenderedPageBreak/>
              <w:t>to the invoice issued by the Lessor no later than 90 calendar days after the end of the calendar year, in which the Other services has been provided to the Tenant, or within 90 days after the end of the Term, whichever occurs earlier.</w:t>
            </w:r>
            <w:r w:rsidRPr="00F36588">
              <w:rPr>
                <w:rFonts w:asciiTheme="minorHAnsi" w:hAnsiTheme="minorHAnsi"/>
              </w:rPr>
              <w:t xml:space="preserve"> The Tenant shall bear the costs of its phone line, if set up by the Tenant.</w:t>
            </w:r>
          </w:p>
        </w:tc>
        <w:tc>
          <w:tcPr>
            <w:tcW w:w="4699" w:type="dxa"/>
          </w:tcPr>
          <w:p w14:paraId="26A1981E" w14:textId="5A37F2B3" w:rsidR="00432CAD" w:rsidRPr="00EA72E7" w:rsidRDefault="00432CAD" w:rsidP="000B3E36">
            <w:pPr>
              <w:pStyle w:val="SKAgreementL2"/>
              <w:rPr>
                <w:rFonts w:asciiTheme="minorHAnsi" w:hAnsiTheme="minorHAnsi"/>
                <w:lang w:val="sk-SK"/>
              </w:rPr>
            </w:pPr>
            <w:r w:rsidRPr="00EA72E7">
              <w:rPr>
                <w:rFonts w:asciiTheme="minorHAnsi" w:hAnsiTheme="minorHAnsi"/>
                <w:lang w:val="sk-SK"/>
              </w:rPr>
              <w:lastRenderedPageBreak/>
              <w:t>Nájomca nebude platiť žiadne poplatky za poskytovanie služieb spojených s nájmom, t.j. za dodávku elektrickej energie</w:t>
            </w:r>
            <w:r>
              <w:rPr>
                <w:rFonts w:asciiTheme="minorHAnsi" w:hAnsiTheme="minorHAnsi"/>
                <w:lang w:val="sk-SK"/>
              </w:rPr>
              <w:t>, vodné a stočné, kúrenie</w:t>
            </w:r>
            <w:r w:rsidRPr="00EA72E7">
              <w:rPr>
                <w:rFonts w:asciiTheme="minorHAnsi" w:hAnsiTheme="minorHAnsi"/>
                <w:lang w:val="sk-SK"/>
              </w:rPr>
              <w:t>, upratovanie Priestorov, likvidáciu odpadu, recepciu, strážnu službu a internetové pripojenie. Náklady na tieto služby znáša Prenajímateľ.</w:t>
            </w:r>
            <w:r>
              <w:rPr>
                <w:rFonts w:asciiTheme="minorHAnsi" w:hAnsiTheme="minorHAnsi"/>
                <w:lang w:val="sk-SK"/>
              </w:rPr>
              <w:t xml:space="preserve"> Nájomca je oprávnený využívať aj ďalšie služby spojené s nájmom poskytované Prenajímateľom („</w:t>
            </w:r>
            <w:r w:rsidRPr="000E761A">
              <w:rPr>
                <w:rFonts w:asciiTheme="minorHAnsi" w:hAnsiTheme="minorHAnsi"/>
                <w:b/>
                <w:lang w:val="sk-SK"/>
              </w:rPr>
              <w:t>Ďalšie služby</w:t>
            </w:r>
            <w:r>
              <w:rPr>
                <w:rFonts w:asciiTheme="minorHAnsi" w:hAnsiTheme="minorHAnsi"/>
                <w:lang w:val="sk-SK"/>
              </w:rPr>
              <w:t xml:space="preserve">“). Náklady za poskytnutie Ďalších služieb znáša Nájomca na základe faktúry vystavenej Prenajímateľom </w:t>
            </w:r>
            <w:r>
              <w:rPr>
                <w:rFonts w:asciiTheme="minorHAnsi" w:hAnsiTheme="minorHAnsi"/>
                <w:lang w:val="sk-SK"/>
              </w:rPr>
              <w:lastRenderedPageBreak/>
              <w:t>najneskôr do 90 dní od uplynutia kalendárneho roka, v ktorom boli Ďalšie služby Nájomcovi poskytnuté alebo do 90 dní odo dňa skončenia Doby nájmu, podľa toho, ktorá skutočnosť nastane skôr.</w:t>
            </w:r>
            <w:r w:rsidRPr="00EA72E7">
              <w:rPr>
                <w:rFonts w:asciiTheme="minorHAnsi" w:hAnsiTheme="minorHAnsi"/>
                <w:lang w:val="sk-SK"/>
              </w:rPr>
              <w:t xml:space="preserve"> Nájomca bude znášať náklady na svoju telefónnu linku, ak si ju zriadi.</w:t>
            </w:r>
          </w:p>
        </w:tc>
      </w:tr>
      <w:tr w:rsidR="00432CAD" w:rsidRPr="0090766C" w14:paraId="67EC5FB2" w14:textId="77777777" w:rsidTr="002F2988">
        <w:tc>
          <w:tcPr>
            <w:tcW w:w="4697" w:type="dxa"/>
          </w:tcPr>
          <w:p w14:paraId="08C4AC34" w14:textId="12280FD8" w:rsidR="00432CAD" w:rsidRPr="00F36588" w:rsidRDefault="0008012E">
            <w:pPr>
              <w:pStyle w:val="ENAgreementL2"/>
              <w:numPr>
                <w:ilvl w:val="1"/>
                <w:numId w:val="2"/>
              </w:numPr>
              <w:rPr>
                <w:rFonts w:asciiTheme="minorHAnsi" w:hAnsiTheme="minorHAnsi"/>
              </w:rPr>
            </w:pPr>
            <w:r>
              <w:rPr>
                <w:rFonts w:asciiTheme="minorHAnsi" w:hAnsiTheme="minorHAnsi"/>
              </w:rPr>
              <w:lastRenderedPageBreak/>
              <w:t xml:space="preserve">The parties agreed on </w:t>
            </w:r>
            <w:r w:rsidRPr="00F36588">
              <w:rPr>
                <w:rFonts w:asciiTheme="minorHAnsi" w:hAnsiTheme="minorHAnsi"/>
              </w:rPr>
              <w:t>a security deposit amounting to three (3</w:t>
            </w:r>
            <w:r>
              <w:rPr>
                <w:rFonts w:asciiTheme="minorHAnsi" w:hAnsiTheme="minorHAnsi"/>
              </w:rPr>
              <w:t>) month</w:t>
            </w:r>
            <w:r w:rsidRPr="00F36588">
              <w:rPr>
                <w:rFonts w:asciiTheme="minorHAnsi" w:hAnsiTheme="minorHAnsi"/>
              </w:rPr>
              <w:t xml:space="preserve"> Rent increased by VAT (“</w:t>
            </w:r>
            <w:r w:rsidRPr="00F36588">
              <w:rPr>
                <w:rFonts w:asciiTheme="minorHAnsi" w:hAnsiTheme="minorHAnsi"/>
                <w:b/>
              </w:rPr>
              <w:t>Deposit</w:t>
            </w:r>
            <w:r w:rsidRPr="00F36588">
              <w:rPr>
                <w:rFonts w:asciiTheme="minorHAnsi" w:hAnsiTheme="minorHAnsi"/>
              </w:rPr>
              <w:t>”).</w:t>
            </w:r>
            <w:r>
              <w:rPr>
                <w:rFonts w:asciiTheme="minorHAnsi" w:hAnsiTheme="minorHAnsi"/>
              </w:rPr>
              <w:t xml:space="preserve"> In case of the use of the option to subscribe parking space from the Lessor, according to the article III section 16 of the Standard terms and conditions, the Deposit shall be raised for the amount of three (3) times Fee for the subscription of parking space.</w:t>
            </w:r>
          </w:p>
        </w:tc>
        <w:tc>
          <w:tcPr>
            <w:tcW w:w="4699" w:type="dxa"/>
          </w:tcPr>
          <w:p w14:paraId="7C0F0980" w14:textId="3ACB77C1" w:rsidR="00432CAD" w:rsidRPr="00D50085" w:rsidRDefault="0008012E">
            <w:pPr>
              <w:pStyle w:val="SKAgreementL2"/>
              <w:rPr>
                <w:rFonts w:asciiTheme="minorHAnsi" w:hAnsiTheme="minorHAnsi"/>
                <w:lang w:val="sk-SK"/>
              </w:rPr>
            </w:pPr>
            <w:r>
              <w:rPr>
                <w:rFonts w:asciiTheme="minorHAnsi" w:hAnsiTheme="minorHAnsi"/>
                <w:lang w:val="sk-SK"/>
              </w:rPr>
              <w:t>Zmluvné strany sa dohodli na zábezpeke</w:t>
            </w:r>
            <w:r w:rsidRPr="00775B9A">
              <w:rPr>
                <w:rFonts w:asciiTheme="minorHAnsi" w:hAnsiTheme="minorHAnsi"/>
                <w:lang w:val="sk-SK"/>
              </w:rPr>
              <w:t xml:space="preserve"> vo výške troj(3)mesačného Nájomného zvýšeného o DPH („</w:t>
            </w:r>
            <w:r w:rsidRPr="00775B9A">
              <w:rPr>
                <w:rFonts w:asciiTheme="minorHAnsi" w:hAnsiTheme="minorHAnsi"/>
                <w:b/>
                <w:lang w:val="sk-SK"/>
              </w:rPr>
              <w:t>Zábezpeka</w:t>
            </w:r>
            <w:r w:rsidRPr="00775B9A">
              <w:rPr>
                <w:rFonts w:asciiTheme="minorHAnsi" w:hAnsiTheme="minorHAnsi"/>
                <w:lang w:val="sk-SK"/>
              </w:rPr>
              <w:t>“).</w:t>
            </w:r>
            <w:r w:rsidRPr="00D50085">
              <w:rPr>
                <w:rFonts w:asciiTheme="minorHAnsi" w:hAnsiTheme="minorHAnsi"/>
                <w:lang w:val="sk-SK"/>
              </w:rPr>
              <w:t xml:space="preserve"> V prípade využitia možnosti predplatiť si parkovacie miesta od Prenajímateľa, v súlade s čl. III ods. 16 Štandardných obchodných podmienok, zvyšuje sa Zábezpeka o sumu troj(3)násobku Poplatku za užívanie parkovacieho miesta.</w:t>
            </w:r>
            <w:r w:rsidR="00432CAD" w:rsidRPr="00D50085">
              <w:rPr>
                <w:rFonts w:asciiTheme="minorHAnsi" w:hAnsiTheme="minorHAnsi"/>
                <w:lang w:val="sk-SK"/>
              </w:rPr>
              <w:t xml:space="preserve"> </w:t>
            </w:r>
          </w:p>
        </w:tc>
      </w:tr>
      <w:tr w:rsidR="00432CAD" w:rsidRPr="0090766C" w14:paraId="74F47820" w14:textId="77777777" w:rsidTr="002F2988">
        <w:tc>
          <w:tcPr>
            <w:tcW w:w="4697" w:type="dxa"/>
          </w:tcPr>
          <w:p w14:paraId="72201497" w14:textId="77777777" w:rsidR="00432CAD" w:rsidRPr="00F36588" w:rsidRDefault="00432CAD" w:rsidP="002F2988">
            <w:pPr>
              <w:pStyle w:val="ENAgreementL1"/>
              <w:numPr>
                <w:ilvl w:val="0"/>
                <w:numId w:val="2"/>
              </w:numPr>
              <w:rPr>
                <w:rFonts w:asciiTheme="minorHAnsi" w:hAnsiTheme="minorHAnsi"/>
              </w:rPr>
            </w:pPr>
            <w:r w:rsidRPr="00F36588">
              <w:rPr>
                <w:rFonts w:asciiTheme="minorHAnsi" w:hAnsiTheme="minorHAnsi"/>
              </w:rPr>
              <w:t>TERM AND END OF LEASE</w:t>
            </w:r>
          </w:p>
        </w:tc>
        <w:tc>
          <w:tcPr>
            <w:tcW w:w="4699" w:type="dxa"/>
          </w:tcPr>
          <w:p w14:paraId="53C2D865" w14:textId="77777777" w:rsidR="00432CAD" w:rsidRPr="00EA72E7" w:rsidRDefault="00432CAD" w:rsidP="002F2988">
            <w:pPr>
              <w:pStyle w:val="SKAgreementL1"/>
              <w:rPr>
                <w:rFonts w:asciiTheme="minorHAnsi" w:hAnsiTheme="minorHAnsi"/>
                <w:lang w:val="sk-SK"/>
              </w:rPr>
            </w:pPr>
            <w:r w:rsidRPr="00EA72E7">
              <w:rPr>
                <w:rFonts w:asciiTheme="minorHAnsi" w:hAnsiTheme="minorHAnsi"/>
                <w:lang w:val="sk-SK"/>
              </w:rPr>
              <w:t>DOBA NÁJMU A SKONČENIE NÁJMU</w:t>
            </w:r>
          </w:p>
        </w:tc>
      </w:tr>
      <w:tr w:rsidR="00432CAD" w:rsidRPr="0090766C" w14:paraId="246A8BBC" w14:textId="77777777" w:rsidTr="002F2988">
        <w:tc>
          <w:tcPr>
            <w:tcW w:w="4697" w:type="dxa"/>
          </w:tcPr>
          <w:p w14:paraId="61B150DE" w14:textId="64DE8FF9" w:rsidR="00432CAD" w:rsidRPr="00F36588" w:rsidRDefault="00432CAD">
            <w:pPr>
              <w:pStyle w:val="ENAgreementL2"/>
              <w:numPr>
                <w:ilvl w:val="1"/>
                <w:numId w:val="2"/>
              </w:numPr>
              <w:rPr>
                <w:rFonts w:asciiTheme="minorHAnsi" w:hAnsiTheme="minorHAnsi"/>
              </w:rPr>
            </w:pPr>
            <w:r w:rsidRPr="00F36588">
              <w:rPr>
                <w:rFonts w:asciiTheme="minorHAnsi" w:hAnsiTheme="minorHAnsi"/>
              </w:rPr>
              <w:t xml:space="preserve">This Agreement shall </w:t>
            </w:r>
            <w:r w:rsidRPr="000E761A">
              <w:rPr>
                <w:rFonts w:asciiTheme="minorHAnsi" w:hAnsiTheme="minorHAnsi"/>
              </w:rPr>
              <w:t xml:space="preserve">be concluded for </w:t>
            </w:r>
            <w:r w:rsidR="005D56CD">
              <w:rPr>
                <w:rFonts w:asciiTheme="minorHAnsi" w:hAnsiTheme="minorHAnsi"/>
              </w:rPr>
              <w:t>indefinite period</w:t>
            </w:r>
            <w:r w:rsidR="00B12F19">
              <w:rPr>
                <w:rFonts w:asciiTheme="minorHAnsi" w:hAnsiTheme="minorHAnsi"/>
              </w:rPr>
              <w:t xml:space="preserve"> </w:t>
            </w:r>
            <w:r w:rsidRPr="000E761A">
              <w:rPr>
                <w:rFonts w:asciiTheme="minorHAnsi" w:hAnsiTheme="minorHAnsi"/>
              </w:rPr>
              <w:t xml:space="preserve">starting </w:t>
            </w:r>
            <w:r w:rsidR="00E14118" w:rsidRPr="000E761A">
              <w:rPr>
                <w:rFonts w:asciiTheme="minorHAnsi" w:hAnsiTheme="minorHAnsi"/>
              </w:rPr>
              <w:t xml:space="preserve">on </w:t>
            </w:r>
            <w:r w:rsidR="004A3FE6">
              <w:rPr>
                <w:rFonts w:asciiTheme="minorHAnsi" w:hAnsiTheme="minorHAnsi"/>
              </w:rPr>
              <w:t>December 1</w:t>
            </w:r>
            <w:r w:rsidR="004A3FE6">
              <w:rPr>
                <w:rFonts w:asciiTheme="minorHAnsi" w:hAnsiTheme="minorHAnsi"/>
                <w:vertAlign w:val="superscript"/>
              </w:rPr>
              <w:t>st</w:t>
            </w:r>
            <w:r w:rsidR="00E14118" w:rsidRPr="000E761A">
              <w:rPr>
                <w:rFonts w:asciiTheme="minorHAnsi" w:hAnsiTheme="minorHAnsi"/>
              </w:rPr>
              <w:t>, 2018</w:t>
            </w:r>
            <w:r w:rsidRPr="000E761A">
              <w:rPr>
                <w:rFonts w:asciiTheme="minorHAnsi" w:hAnsiTheme="minorHAnsi"/>
              </w:rPr>
              <w:t xml:space="preserve"> (“</w:t>
            </w:r>
            <w:r w:rsidRPr="000E761A">
              <w:rPr>
                <w:rFonts w:asciiTheme="minorHAnsi" w:hAnsiTheme="minorHAnsi"/>
                <w:b/>
              </w:rPr>
              <w:t>Term</w:t>
            </w:r>
            <w:r w:rsidRPr="000E761A">
              <w:rPr>
                <w:rFonts w:asciiTheme="minorHAnsi" w:hAnsiTheme="minorHAnsi"/>
              </w:rPr>
              <w:t>”).</w:t>
            </w:r>
          </w:p>
        </w:tc>
        <w:tc>
          <w:tcPr>
            <w:tcW w:w="4699" w:type="dxa"/>
          </w:tcPr>
          <w:p w14:paraId="6A784E8E" w14:textId="4A50E019" w:rsidR="00432CAD" w:rsidRPr="00EA72E7" w:rsidRDefault="00432CAD">
            <w:pPr>
              <w:pStyle w:val="SKAgreementL2"/>
              <w:rPr>
                <w:rFonts w:asciiTheme="minorHAnsi" w:hAnsiTheme="minorHAnsi"/>
                <w:lang w:val="sk-SK"/>
              </w:rPr>
            </w:pPr>
            <w:r w:rsidRPr="00EA72E7">
              <w:rPr>
                <w:rFonts w:asciiTheme="minorHAnsi" w:hAnsiTheme="minorHAnsi"/>
                <w:lang w:val="sk-SK"/>
              </w:rPr>
              <w:t>Táto Zmluva sa uzatvára na dobu</w:t>
            </w:r>
            <w:r w:rsidR="00B12F19">
              <w:rPr>
                <w:rFonts w:asciiTheme="minorHAnsi" w:hAnsiTheme="minorHAnsi"/>
                <w:lang w:val="sk-SK"/>
              </w:rPr>
              <w:t xml:space="preserve"> </w:t>
            </w:r>
            <w:r w:rsidR="005D56CD">
              <w:rPr>
                <w:rFonts w:asciiTheme="minorHAnsi" w:hAnsiTheme="minorHAnsi"/>
                <w:lang w:val="sk-SK"/>
              </w:rPr>
              <w:t>ne</w:t>
            </w:r>
            <w:r>
              <w:rPr>
                <w:rFonts w:asciiTheme="minorHAnsi" w:hAnsiTheme="minorHAnsi"/>
                <w:lang w:val="sk-SK"/>
              </w:rPr>
              <w:t xml:space="preserve">určitú </w:t>
            </w:r>
            <w:r w:rsidR="00B12F19">
              <w:rPr>
                <w:rFonts w:asciiTheme="minorHAnsi" w:hAnsiTheme="minorHAnsi"/>
                <w:lang w:val="sk-SK"/>
              </w:rPr>
              <w:t>od</w:t>
            </w:r>
            <w:r>
              <w:rPr>
                <w:rFonts w:asciiTheme="minorHAnsi" w:hAnsiTheme="minorHAnsi"/>
                <w:lang w:val="sk-SK"/>
              </w:rPr>
              <w:t xml:space="preserve"> </w:t>
            </w:r>
            <w:r w:rsidR="00A870DF">
              <w:rPr>
                <w:rFonts w:asciiTheme="minorHAnsi" w:hAnsiTheme="minorHAnsi"/>
                <w:lang w:val="sk-SK"/>
              </w:rPr>
              <w:t>0</w:t>
            </w:r>
            <w:r w:rsidR="00382793">
              <w:rPr>
                <w:rFonts w:asciiTheme="minorHAnsi" w:hAnsiTheme="minorHAnsi"/>
                <w:lang w:val="sk-SK"/>
              </w:rPr>
              <w:t>1</w:t>
            </w:r>
            <w:r w:rsidR="00E14118">
              <w:rPr>
                <w:rFonts w:asciiTheme="minorHAnsi" w:hAnsiTheme="minorHAnsi"/>
                <w:lang w:val="sk-SK"/>
              </w:rPr>
              <w:t xml:space="preserve">. </w:t>
            </w:r>
            <w:r w:rsidR="004A3FE6">
              <w:rPr>
                <w:rFonts w:asciiTheme="minorHAnsi" w:hAnsiTheme="minorHAnsi"/>
                <w:lang w:val="sk-SK"/>
              </w:rPr>
              <w:t xml:space="preserve">decembra </w:t>
            </w:r>
            <w:r w:rsidR="00E14118">
              <w:rPr>
                <w:rFonts w:asciiTheme="minorHAnsi" w:hAnsiTheme="minorHAnsi"/>
                <w:lang w:val="sk-SK"/>
              </w:rPr>
              <w:t>2018</w:t>
            </w:r>
            <w:r w:rsidRPr="00EA72E7">
              <w:rPr>
                <w:rFonts w:asciiTheme="minorHAnsi" w:hAnsiTheme="minorHAnsi"/>
                <w:lang w:val="sk-SK"/>
              </w:rPr>
              <w:t xml:space="preserve"> („</w:t>
            </w:r>
            <w:r w:rsidRPr="00EA72E7">
              <w:rPr>
                <w:rFonts w:asciiTheme="minorHAnsi" w:hAnsiTheme="minorHAnsi"/>
                <w:b/>
                <w:lang w:val="sk-SK"/>
              </w:rPr>
              <w:t>Doba nájmu</w:t>
            </w:r>
            <w:r w:rsidRPr="00EA72E7">
              <w:rPr>
                <w:rFonts w:asciiTheme="minorHAnsi" w:hAnsiTheme="minorHAnsi"/>
                <w:lang w:val="sk-SK"/>
              </w:rPr>
              <w:t>“).</w:t>
            </w:r>
          </w:p>
        </w:tc>
      </w:tr>
      <w:tr w:rsidR="005D56CD" w:rsidRPr="0090766C" w14:paraId="4119BFEF" w14:textId="77777777" w:rsidTr="002F2988">
        <w:tc>
          <w:tcPr>
            <w:tcW w:w="4697" w:type="dxa"/>
          </w:tcPr>
          <w:p w14:paraId="7DF958A7" w14:textId="1914F690" w:rsidR="005D56CD" w:rsidRPr="00F36588" w:rsidRDefault="00F0214B" w:rsidP="005F1981">
            <w:pPr>
              <w:pStyle w:val="ENAgreementL2"/>
              <w:numPr>
                <w:ilvl w:val="1"/>
                <w:numId w:val="2"/>
              </w:numPr>
              <w:rPr>
                <w:rFonts w:asciiTheme="minorHAnsi" w:hAnsiTheme="minorHAnsi"/>
              </w:rPr>
            </w:pPr>
            <w:r w:rsidRPr="002B7312">
              <w:rPr>
                <w:rFonts w:asciiTheme="minorHAnsi" w:hAnsiTheme="minorHAnsi"/>
              </w:rPr>
              <w:t xml:space="preserve">Each of the parties is entitled to terminate this Agreement even without case with effectiveness on </w:t>
            </w:r>
            <w:r w:rsidR="004A3FE6">
              <w:rPr>
                <w:rFonts w:asciiTheme="minorHAnsi" w:hAnsiTheme="minorHAnsi"/>
              </w:rPr>
              <w:t>November</w:t>
            </w:r>
            <w:r w:rsidR="00A04BA4">
              <w:rPr>
                <w:rFonts w:asciiTheme="minorHAnsi" w:hAnsiTheme="minorHAnsi"/>
              </w:rPr>
              <w:t xml:space="preserve"> </w:t>
            </w:r>
            <w:r w:rsidR="004A3FE6">
              <w:rPr>
                <w:rFonts w:asciiTheme="minorHAnsi" w:hAnsiTheme="minorHAnsi"/>
              </w:rPr>
              <w:t>30</w:t>
            </w:r>
            <w:r w:rsidR="00A04BA4" w:rsidRPr="00A04BA4">
              <w:rPr>
                <w:rFonts w:asciiTheme="minorHAnsi" w:hAnsiTheme="minorHAnsi"/>
                <w:vertAlign w:val="superscript"/>
              </w:rPr>
              <w:t>th</w:t>
            </w:r>
            <w:r w:rsidR="005F1981">
              <w:rPr>
                <w:rFonts w:asciiTheme="minorHAnsi" w:hAnsiTheme="minorHAnsi"/>
              </w:rPr>
              <w:t>, 2021 (“</w:t>
            </w:r>
            <w:r w:rsidR="005F1981" w:rsidRPr="005F1981">
              <w:rPr>
                <w:rFonts w:asciiTheme="minorHAnsi" w:hAnsiTheme="minorHAnsi"/>
                <w:b/>
              </w:rPr>
              <w:t>Termination Date</w:t>
            </w:r>
            <w:r w:rsidR="005F1981">
              <w:rPr>
                <w:rFonts w:asciiTheme="minorHAnsi" w:hAnsiTheme="minorHAnsi"/>
              </w:rPr>
              <w:t xml:space="preserve">“) at the earliest, </w:t>
            </w:r>
            <w:r w:rsidRPr="002B7312">
              <w:rPr>
                <w:rFonts w:asciiTheme="minorHAnsi" w:hAnsiTheme="minorHAnsi"/>
              </w:rPr>
              <w:t>by giving a written notice, to the other party,</w:t>
            </w:r>
            <w:r w:rsidR="004952FC">
              <w:rPr>
                <w:rFonts w:asciiTheme="minorHAnsi" w:hAnsiTheme="minorHAnsi"/>
              </w:rPr>
              <w:t xml:space="preserve"> no later than </w:t>
            </w:r>
            <w:r w:rsidR="00D568D5">
              <w:rPr>
                <w:rFonts w:asciiTheme="minorHAnsi" w:hAnsiTheme="minorHAnsi"/>
              </w:rPr>
              <w:t>six</w:t>
            </w:r>
            <w:r w:rsidR="004952FC">
              <w:rPr>
                <w:rFonts w:asciiTheme="minorHAnsi" w:hAnsiTheme="minorHAnsi"/>
              </w:rPr>
              <w:t xml:space="preserve"> (</w:t>
            </w:r>
            <w:r w:rsidR="00D568D5">
              <w:rPr>
                <w:rFonts w:asciiTheme="minorHAnsi" w:hAnsiTheme="minorHAnsi"/>
              </w:rPr>
              <w:t>6</w:t>
            </w:r>
            <w:r w:rsidR="005F1981">
              <w:rPr>
                <w:rFonts w:asciiTheme="minorHAnsi" w:hAnsiTheme="minorHAnsi"/>
              </w:rPr>
              <w:t>) months prior to the Termination D</w:t>
            </w:r>
            <w:r w:rsidR="004952FC">
              <w:rPr>
                <w:rFonts w:asciiTheme="minorHAnsi" w:hAnsiTheme="minorHAnsi"/>
              </w:rPr>
              <w:t>ate</w:t>
            </w:r>
            <w:r w:rsidR="00E708A2">
              <w:rPr>
                <w:rFonts w:asciiTheme="minorHAnsi" w:hAnsiTheme="minorHAnsi"/>
              </w:rPr>
              <w:t>.</w:t>
            </w:r>
            <w:r w:rsidR="004952FC">
              <w:rPr>
                <w:rFonts w:asciiTheme="minorHAnsi" w:hAnsiTheme="minorHAnsi"/>
              </w:rPr>
              <w:t xml:space="preserve"> </w:t>
            </w:r>
            <w:r w:rsidR="005F1981">
              <w:rPr>
                <w:rFonts w:asciiTheme="minorHAnsi" w:hAnsiTheme="minorHAnsi"/>
              </w:rPr>
              <w:t>Upon Termination Date,</w:t>
            </w:r>
            <w:r w:rsidR="005F1981" w:rsidRPr="002B7312">
              <w:rPr>
                <w:rFonts w:asciiTheme="minorHAnsi" w:hAnsiTheme="minorHAnsi"/>
              </w:rPr>
              <w:t xml:space="preserve"> </w:t>
            </w:r>
            <w:r w:rsidR="005F1981">
              <w:rPr>
                <w:rFonts w:asciiTheme="minorHAnsi" w:hAnsiTheme="minorHAnsi"/>
              </w:rPr>
              <w:t>each of the parties is entitled to terminate this Agreement every year even without case with effectiveness on November 30</w:t>
            </w:r>
            <w:r w:rsidR="005F1981" w:rsidRPr="002B7312">
              <w:rPr>
                <w:rFonts w:asciiTheme="minorHAnsi" w:hAnsiTheme="minorHAnsi"/>
              </w:rPr>
              <w:t xml:space="preserve"> by giving a written notice, to the other party, no later than six (6) months prior to the supposed termination date.</w:t>
            </w:r>
          </w:p>
        </w:tc>
        <w:tc>
          <w:tcPr>
            <w:tcW w:w="4699" w:type="dxa"/>
          </w:tcPr>
          <w:p w14:paraId="61CAEE02" w14:textId="4AE346A7" w:rsidR="005D56CD" w:rsidRPr="00084D51" w:rsidRDefault="005D56CD" w:rsidP="005F1981">
            <w:pPr>
              <w:pStyle w:val="SKAgreementL2"/>
              <w:rPr>
                <w:rFonts w:asciiTheme="minorHAnsi" w:hAnsiTheme="minorHAnsi"/>
                <w:lang w:val="sk-SK"/>
              </w:rPr>
            </w:pPr>
            <w:r w:rsidRPr="002B7312">
              <w:rPr>
                <w:rFonts w:asciiTheme="minorHAnsi" w:hAnsiTheme="minorHAnsi"/>
                <w:lang w:val="sk-SK"/>
              </w:rPr>
              <w:t>Každá zo strán je oprávnená túto Zmluvu vypovedať b</w:t>
            </w:r>
            <w:r>
              <w:rPr>
                <w:rFonts w:asciiTheme="minorHAnsi" w:hAnsiTheme="minorHAnsi"/>
                <w:lang w:val="sk-SK"/>
              </w:rPr>
              <w:t xml:space="preserve">ez udania dôvodu </w:t>
            </w:r>
            <w:r w:rsidR="005F1981">
              <w:rPr>
                <w:rFonts w:asciiTheme="minorHAnsi" w:hAnsiTheme="minorHAnsi"/>
                <w:lang w:val="sk-SK"/>
              </w:rPr>
              <w:t xml:space="preserve">najskôr  </w:t>
            </w:r>
            <w:r>
              <w:rPr>
                <w:rFonts w:asciiTheme="minorHAnsi" w:hAnsiTheme="minorHAnsi"/>
                <w:lang w:val="sk-SK"/>
              </w:rPr>
              <w:t>s účinnosťou k</w:t>
            </w:r>
            <w:r w:rsidR="008A4DC3">
              <w:rPr>
                <w:rFonts w:asciiTheme="minorHAnsi" w:hAnsiTheme="minorHAnsi"/>
                <w:lang w:val="sk-SK"/>
              </w:rPr>
              <w:t> </w:t>
            </w:r>
            <w:r w:rsidR="004A3FE6">
              <w:rPr>
                <w:rFonts w:asciiTheme="minorHAnsi" w:hAnsiTheme="minorHAnsi"/>
                <w:lang w:val="sk-SK"/>
              </w:rPr>
              <w:t>30</w:t>
            </w:r>
            <w:r w:rsidR="008A4DC3">
              <w:rPr>
                <w:rFonts w:asciiTheme="minorHAnsi" w:hAnsiTheme="minorHAnsi"/>
                <w:lang w:val="sk-SK"/>
              </w:rPr>
              <w:t>.</w:t>
            </w:r>
            <w:r w:rsidR="004A3FE6">
              <w:rPr>
                <w:rFonts w:asciiTheme="minorHAnsi" w:hAnsiTheme="minorHAnsi"/>
                <w:lang w:val="sk-SK"/>
              </w:rPr>
              <w:t xml:space="preserve"> novembru</w:t>
            </w:r>
            <w:r w:rsidR="005F1981">
              <w:rPr>
                <w:rFonts w:asciiTheme="minorHAnsi" w:hAnsiTheme="minorHAnsi"/>
                <w:lang w:val="sk-SK"/>
              </w:rPr>
              <w:t xml:space="preserve"> 2021 („</w:t>
            </w:r>
            <w:r w:rsidR="005F1981" w:rsidRPr="005F1981">
              <w:rPr>
                <w:rFonts w:asciiTheme="minorHAnsi" w:hAnsiTheme="minorHAnsi"/>
                <w:b/>
                <w:lang w:val="sk-SK"/>
              </w:rPr>
              <w:t>Dátum ukončenia</w:t>
            </w:r>
            <w:r w:rsidR="005F1981">
              <w:rPr>
                <w:rFonts w:asciiTheme="minorHAnsi" w:hAnsiTheme="minorHAnsi"/>
                <w:lang w:val="sk-SK"/>
              </w:rPr>
              <w:t>“)</w:t>
            </w:r>
            <w:r w:rsidR="00D568D5">
              <w:rPr>
                <w:rFonts w:asciiTheme="minorHAnsi" w:hAnsiTheme="minorHAnsi"/>
                <w:lang w:val="sk-SK"/>
              </w:rPr>
              <w:t xml:space="preserve"> </w:t>
            </w:r>
            <w:r w:rsidRPr="002B7312">
              <w:rPr>
                <w:rFonts w:asciiTheme="minorHAnsi" w:hAnsiTheme="minorHAnsi"/>
                <w:lang w:val="sk-SK"/>
              </w:rPr>
              <w:t>za podmienky, že doručí druhej strane písomnú výpoveď</w:t>
            </w:r>
            <w:r w:rsidR="00E708A2">
              <w:rPr>
                <w:rFonts w:asciiTheme="minorHAnsi" w:hAnsiTheme="minorHAnsi"/>
                <w:lang w:val="sk-SK"/>
              </w:rPr>
              <w:t xml:space="preserve"> </w:t>
            </w:r>
            <w:r w:rsidRPr="002B7312">
              <w:rPr>
                <w:rFonts w:asciiTheme="minorHAnsi" w:hAnsiTheme="minorHAnsi"/>
                <w:lang w:val="sk-SK"/>
              </w:rPr>
              <w:t>nie neskôr ako</w:t>
            </w:r>
            <w:r w:rsidR="004952FC">
              <w:rPr>
                <w:rFonts w:asciiTheme="minorHAnsi" w:hAnsiTheme="minorHAnsi"/>
                <w:lang w:val="sk-SK"/>
              </w:rPr>
              <w:t xml:space="preserve"> </w:t>
            </w:r>
            <w:r w:rsidR="00D568D5">
              <w:rPr>
                <w:rFonts w:asciiTheme="minorHAnsi" w:hAnsiTheme="minorHAnsi"/>
                <w:lang w:val="sk-SK"/>
              </w:rPr>
              <w:t xml:space="preserve">šesť </w:t>
            </w:r>
            <w:r w:rsidR="004952FC">
              <w:rPr>
                <w:rFonts w:asciiTheme="minorHAnsi" w:hAnsiTheme="minorHAnsi"/>
                <w:lang w:val="sk-SK"/>
              </w:rPr>
              <w:t>(</w:t>
            </w:r>
            <w:r w:rsidR="00D568D5">
              <w:rPr>
                <w:rFonts w:asciiTheme="minorHAnsi" w:hAnsiTheme="minorHAnsi"/>
                <w:lang w:val="sk-SK"/>
              </w:rPr>
              <w:t>6</w:t>
            </w:r>
            <w:r w:rsidR="004952FC">
              <w:rPr>
                <w:rFonts w:asciiTheme="minorHAnsi" w:hAnsiTheme="minorHAnsi"/>
                <w:lang w:val="sk-SK"/>
              </w:rPr>
              <w:t>) mesiac</w:t>
            </w:r>
            <w:r w:rsidR="00D568D5">
              <w:rPr>
                <w:rFonts w:asciiTheme="minorHAnsi" w:hAnsiTheme="minorHAnsi"/>
                <w:lang w:val="sk-SK"/>
              </w:rPr>
              <w:t>ov</w:t>
            </w:r>
            <w:r w:rsidRPr="002B7312">
              <w:rPr>
                <w:rFonts w:asciiTheme="minorHAnsi" w:hAnsiTheme="minorHAnsi"/>
                <w:lang w:val="sk-SK"/>
              </w:rPr>
              <w:t xml:space="preserve"> </w:t>
            </w:r>
            <w:r w:rsidR="004952FC">
              <w:rPr>
                <w:rFonts w:asciiTheme="minorHAnsi" w:hAnsiTheme="minorHAnsi"/>
                <w:lang w:val="sk-SK"/>
              </w:rPr>
              <w:t xml:space="preserve">pred </w:t>
            </w:r>
            <w:r w:rsidR="005F1981">
              <w:rPr>
                <w:rFonts w:asciiTheme="minorHAnsi" w:hAnsiTheme="minorHAnsi"/>
                <w:lang w:val="sk-SK"/>
              </w:rPr>
              <w:t>Dátumom ukončenia</w:t>
            </w:r>
            <w:r w:rsidR="00E708A2">
              <w:rPr>
                <w:rFonts w:asciiTheme="minorHAnsi" w:hAnsiTheme="minorHAnsi"/>
                <w:lang w:val="sk-SK"/>
              </w:rPr>
              <w:t>.</w:t>
            </w:r>
            <w:r w:rsidR="004952FC">
              <w:rPr>
                <w:rFonts w:asciiTheme="minorHAnsi" w:hAnsiTheme="minorHAnsi"/>
                <w:lang w:val="sk-SK"/>
              </w:rPr>
              <w:t xml:space="preserve"> </w:t>
            </w:r>
            <w:r w:rsidR="005F1981">
              <w:rPr>
                <w:rFonts w:asciiTheme="minorHAnsi" w:hAnsiTheme="minorHAnsi"/>
                <w:lang w:val="sk-SK"/>
              </w:rPr>
              <w:t>Po Dátume ukončenia je každá zo strán oprávnená túto Zmluvu každoročne vypovedať aj bez uvedenia dôvodu</w:t>
            </w:r>
            <w:r w:rsidR="005F1981" w:rsidRPr="002B7312">
              <w:rPr>
                <w:rFonts w:asciiTheme="minorHAnsi" w:hAnsiTheme="minorHAnsi"/>
                <w:lang w:val="sk-SK"/>
              </w:rPr>
              <w:t xml:space="preserve"> </w:t>
            </w:r>
            <w:r w:rsidR="005F1981">
              <w:rPr>
                <w:rFonts w:asciiTheme="minorHAnsi" w:hAnsiTheme="minorHAnsi"/>
                <w:lang w:val="sk-SK"/>
              </w:rPr>
              <w:t xml:space="preserve">s účinnosťou </w:t>
            </w:r>
            <w:r w:rsidR="005F1981" w:rsidRPr="002B7312">
              <w:rPr>
                <w:rFonts w:asciiTheme="minorHAnsi" w:hAnsiTheme="minorHAnsi"/>
                <w:lang w:val="sk-SK"/>
              </w:rPr>
              <w:t>k</w:t>
            </w:r>
            <w:r w:rsidR="005F1981">
              <w:rPr>
                <w:rFonts w:asciiTheme="minorHAnsi" w:hAnsiTheme="minorHAnsi"/>
                <w:lang w:val="sk-SK"/>
              </w:rPr>
              <w:t xml:space="preserve"> 30. novembru </w:t>
            </w:r>
            <w:r w:rsidR="005F1981" w:rsidRPr="002B7312">
              <w:rPr>
                <w:rFonts w:asciiTheme="minorHAnsi" w:hAnsiTheme="minorHAnsi"/>
                <w:lang w:val="sk-SK"/>
              </w:rPr>
              <w:t>za podmienky, že doručí druhej strane písomnú výpoveď nie neskôr ako šesť (6) mesiacov pred predpokladaným dátumom ukončenia.</w:t>
            </w:r>
          </w:p>
        </w:tc>
      </w:tr>
      <w:tr w:rsidR="00432CAD" w:rsidRPr="0090766C" w14:paraId="5C2015A3" w14:textId="77777777" w:rsidTr="002F2988">
        <w:tc>
          <w:tcPr>
            <w:tcW w:w="4697" w:type="dxa"/>
          </w:tcPr>
          <w:p w14:paraId="11B0A6C3" w14:textId="77777777" w:rsidR="00432CAD" w:rsidRPr="00F36588" w:rsidRDefault="00432CAD" w:rsidP="002F2988">
            <w:pPr>
              <w:pStyle w:val="ENAgreementL2"/>
              <w:numPr>
                <w:ilvl w:val="1"/>
                <w:numId w:val="2"/>
              </w:numPr>
              <w:rPr>
                <w:rFonts w:asciiTheme="minorHAnsi" w:hAnsiTheme="minorHAnsi"/>
              </w:rPr>
            </w:pPr>
            <w:r w:rsidRPr="00F36588">
              <w:rPr>
                <w:rFonts w:asciiTheme="minorHAnsi" w:hAnsiTheme="minorHAnsi"/>
              </w:rPr>
              <w:t>The Lessor is entitled to terminate this Agreement if: (a) the Tenant uses the Premises in conflict with this Agreement; (b) the Tenant is in delay for more than six weeks with the payment of the Rent; (c) the Tenant or persons, using the Premises together with the Tenant, grossly disturb peace or order despite having received a written notice; (d) it has been decided by official authority on the removal of the Building or of changes thereof, which make it impossible to use the Premises; or (e) the Tenant subleases the Premises or part thereof without consent from the Lessor.</w:t>
            </w:r>
          </w:p>
        </w:tc>
        <w:tc>
          <w:tcPr>
            <w:tcW w:w="4699" w:type="dxa"/>
          </w:tcPr>
          <w:p w14:paraId="40FA446E" w14:textId="77777777" w:rsidR="00432CAD" w:rsidRPr="00EA72E7" w:rsidRDefault="00432CAD" w:rsidP="002F2988">
            <w:pPr>
              <w:pStyle w:val="SKAgreementL2"/>
              <w:rPr>
                <w:rFonts w:asciiTheme="minorHAnsi" w:hAnsiTheme="minorHAnsi"/>
                <w:lang w:val="sk-SK"/>
              </w:rPr>
            </w:pPr>
            <w:r w:rsidRPr="00EA72E7">
              <w:rPr>
                <w:rFonts w:asciiTheme="minorHAnsi" w:hAnsiTheme="minorHAnsi"/>
                <w:lang w:val="sk-SK"/>
              </w:rPr>
              <w:t>Prenajímateľ je oprávnený túto Zmluvu vypovedať ak: (a) Nájomca užíva Priestory v rozpore s touto Zmluvou; (b) Nájomca viac ako šesť týždňov mešká s platením Nájomného; (c) Nájomca alebo osoby, ktoré s ním užívajú Priestor, napriek písomnému upozorneniu hrubo porušujú pokoj alebo poriadok; (d) bolo rozhodnuté príslušným stavebným úradom o odstránení Budovy alebo o jej zmenách, čo bráni užívať Priestory; (e) Nájomca prenechá Priestory alebo ich časť do podnájmu bez súhlasu Prenajímateľa.</w:t>
            </w:r>
          </w:p>
        </w:tc>
      </w:tr>
      <w:tr w:rsidR="00432CAD" w:rsidRPr="0090766C" w14:paraId="638614A4" w14:textId="77777777" w:rsidTr="002F2988">
        <w:tc>
          <w:tcPr>
            <w:tcW w:w="4697" w:type="dxa"/>
          </w:tcPr>
          <w:p w14:paraId="55EAFAB6" w14:textId="77777777" w:rsidR="00432CAD" w:rsidRPr="00F36588" w:rsidRDefault="00432CAD" w:rsidP="002F2988">
            <w:pPr>
              <w:pStyle w:val="ENAgreementL2"/>
              <w:numPr>
                <w:ilvl w:val="1"/>
                <w:numId w:val="2"/>
              </w:numPr>
              <w:rPr>
                <w:rFonts w:asciiTheme="minorHAnsi" w:hAnsiTheme="minorHAnsi"/>
              </w:rPr>
            </w:pPr>
            <w:r w:rsidRPr="00F36588">
              <w:rPr>
                <w:rFonts w:asciiTheme="minorHAnsi" w:hAnsiTheme="minorHAnsi"/>
              </w:rPr>
              <w:t xml:space="preserve">The Tenant is entitled to terminate this Agreement if: (a) it loses qualification to operate the activity for which it has leased the Premises; (b) the Premises become unserviceable for the agreed use without fault </w:t>
            </w:r>
            <w:r w:rsidRPr="00F36588">
              <w:rPr>
                <w:rFonts w:asciiTheme="minorHAnsi" w:hAnsiTheme="minorHAnsi"/>
              </w:rPr>
              <w:lastRenderedPageBreak/>
              <w:t>on the part of the Tenant, (c) the Lessor grossly violates the obligations arising out of the provision of Section 5 (1) of the Act.</w:t>
            </w:r>
          </w:p>
        </w:tc>
        <w:tc>
          <w:tcPr>
            <w:tcW w:w="4699" w:type="dxa"/>
          </w:tcPr>
          <w:p w14:paraId="32A0F28F" w14:textId="77777777" w:rsidR="00432CAD" w:rsidRPr="00EA72E7" w:rsidRDefault="00432CAD" w:rsidP="002F2988">
            <w:pPr>
              <w:pStyle w:val="SKAgreementL2"/>
              <w:rPr>
                <w:rFonts w:asciiTheme="minorHAnsi" w:hAnsiTheme="minorHAnsi"/>
                <w:lang w:val="sk-SK"/>
              </w:rPr>
            </w:pPr>
            <w:r w:rsidRPr="00EA72E7">
              <w:rPr>
                <w:rFonts w:asciiTheme="minorHAnsi" w:hAnsiTheme="minorHAnsi"/>
                <w:lang w:val="sk-SK"/>
              </w:rPr>
              <w:lastRenderedPageBreak/>
              <w:t xml:space="preserve">Nájomca je oprávnený túto Zmluvu vypovedať ak: (a) stratí spôsobilosť prevádzkovať činnosť, na ktorú si Priestory prenajal; (b) Priestor sa stanú bez zavinenia Nájomcu nespôsobilé na dohovorené užívanie; alebo (c) Prenajímateľ </w:t>
            </w:r>
            <w:r w:rsidRPr="00EA72E7">
              <w:rPr>
                <w:rFonts w:asciiTheme="minorHAnsi" w:hAnsiTheme="minorHAnsi"/>
                <w:lang w:val="sk-SK"/>
              </w:rPr>
              <w:lastRenderedPageBreak/>
              <w:t>hrubo porušuje svoje povinnosti vyplývajúce z ust. § 5 ods. 1 Zákona.</w:t>
            </w:r>
          </w:p>
        </w:tc>
      </w:tr>
      <w:tr w:rsidR="004A3FE6" w:rsidRPr="0090766C" w14:paraId="79877EC2" w14:textId="77777777" w:rsidTr="002F2988">
        <w:tc>
          <w:tcPr>
            <w:tcW w:w="4697" w:type="dxa"/>
          </w:tcPr>
          <w:p w14:paraId="6BBD72E4" w14:textId="36DEAB4A" w:rsidR="004A3FE6" w:rsidRPr="0040446A" w:rsidRDefault="00D84D6B" w:rsidP="0040446A">
            <w:pPr>
              <w:pStyle w:val="SKAgreementL1"/>
              <w:rPr>
                <w:rFonts w:asciiTheme="minorHAnsi" w:hAnsiTheme="minorHAnsi"/>
              </w:rPr>
            </w:pPr>
            <w:r>
              <w:rPr>
                <w:rFonts w:asciiTheme="minorHAnsi" w:hAnsiTheme="minorHAnsi"/>
                <w:lang w:val="sk-SK"/>
              </w:rPr>
              <w:lastRenderedPageBreak/>
              <w:t>other provisions</w:t>
            </w:r>
          </w:p>
        </w:tc>
        <w:tc>
          <w:tcPr>
            <w:tcW w:w="4699" w:type="dxa"/>
          </w:tcPr>
          <w:p w14:paraId="7ED96626" w14:textId="77777777" w:rsidR="00D84D6B" w:rsidRPr="00D84D6B" w:rsidRDefault="00D84D6B" w:rsidP="00D84D6B">
            <w:pPr>
              <w:pStyle w:val="ListParagraph"/>
              <w:keepNext/>
              <w:numPr>
                <w:ilvl w:val="0"/>
                <w:numId w:val="19"/>
              </w:numPr>
              <w:contextualSpacing w:val="0"/>
              <w:jc w:val="left"/>
              <w:rPr>
                <w:rFonts w:asciiTheme="minorHAnsi" w:eastAsia="Calibri" w:hAnsiTheme="minorHAnsi"/>
                <w:b/>
                <w:caps/>
                <w:vanish/>
                <w:sz w:val="20"/>
              </w:rPr>
            </w:pPr>
          </w:p>
          <w:p w14:paraId="6A935ADA" w14:textId="77777777" w:rsidR="00D84D6B" w:rsidRPr="00D84D6B" w:rsidRDefault="00D84D6B" w:rsidP="00D84D6B">
            <w:pPr>
              <w:pStyle w:val="ListParagraph"/>
              <w:keepNext/>
              <w:numPr>
                <w:ilvl w:val="0"/>
                <w:numId w:val="19"/>
              </w:numPr>
              <w:contextualSpacing w:val="0"/>
              <w:jc w:val="left"/>
              <w:rPr>
                <w:rFonts w:asciiTheme="minorHAnsi" w:eastAsia="Calibri" w:hAnsiTheme="minorHAnsi"/>
                <w:b/>
                <w:caps/>
                <w:vanish/>
                <w:sz w:val="20"/>
              </w:rPr>
            </w:pPr>
          </w:p>
          <w:p w14:paraId="5A6A9B14" w14:textId="77777777" w:rsidR="00D84D6B" w:rsidRPr="00D84D6B" w:rsidRDefault="00D84D6B" w:rsidP="00D84D6B">
            <w:pPr>
              <w:pStyle w:val="ListParagraph"/>
              <w:keepNext/>
              <w:numPr>
                <w:ilvl w:val="0"/>
                <w:numId w:val="19"/>
              </w:numPr>
              <w:contextualSpacing w:val="0"/>
              <w:jc w:val="left"/>
              <w:rPr>
                <w:rFonts w:asciiTheme="minorHAnsi" w:eastAsia="Calibri" w:hAnsiTheme="minorHAnsi"/>
                <w:b/>
                <w:caps/>
                <w:vanish/>
                <w:sz w:val="20"/>
              </w:rPr>
            </w:pPr>
          </w:p>
          <w:p w14:paraId="5DED73FC" w14:textId="32113D54" w:rsidR="004A3FE6" w:rsidRPr="0040446A" w:rsidRDefault="00D84D6B" w:rsidP="0040446A">
            <w:pPr>
              <w:pStyle w:val="SKAgreementL1"/>
              <w:numPr>
                <w:ilvl w:val="0"/>
                <w:numId w:val="19"/>
              </w:numPr>
              <w:rPr>
                <w:rFonts w:asciiTheme="minorHAnsi" w:hAnsiTheme="minorHAnsi"/>
              </w:rPr>
            </w:pPr>
            <w:r w:rsidRPr="0040446A">
              <w:rPr>
                <w:rFonts w:asciiTheme="minorHAnsi" w:hAnsiTheme="minorHAnsi"/>
              </w:rPr>
              <w:t>ostatné ustanovenia</w:t>
            </w:r>
          </w:p>
        </w:tc>
      </w:tr>
      <w:tr w:rsidR="00F60E00" w:rsidRPr="0090766C" w14:paraId="4BD8CC83" w14:textId="77777777" w:rsidTr="002F2988">
        <w:tc>
          <w:tcPr>
            <w:tcW w:w="4697" w:type="dxa"/>
          </w:tcPr>
          <w:p w14:paraId="343E6102" w14:textId="71F17D56" w:rsidR="00F60E00" w:rsidRDefault="0054605D" w:rsidP="0040446A">
            <w:pPr>
              <w:pStyle w:val="SKAgreementL2"/>
              <w:numPr>
                <w:ilvl w:val="1"/>
                <w:numId w:val="20"/>
              </w:numPr>
              <w:rPr>
                <w:rFonts w:asciiTheme="minorHAnsi" w:hAnsiTheme="minorHAnsi"/>
              </w:rPr>
            </w:pPr>
            <w:r>
              <w:rPr>
                <w:rFonts w:asciiTheme="minorHAnsi" w:hAnsiTheme="minorHAnsi"/>
              </w:rPr>
              <w:t>The parties agree</w:t>
            </w:r>
            <w:r w:rsidR="00852040" w:rsidRPr="0040446A">
              <w:rPr>
                <w:rFonts w:asciiTheme="minorHAnsi" w:hAnsiTheme="minorHAnsi"/>
              </w:rPr>
              <w:t xml:space="preserve"> that upon request the Lessor will </w:t>
            </w:r>
            <w:r>
              <w:rPr>
                <w:rFonts w:asciiTheme="minorHAnsi" w:hAnsiTheme="minorHAnsi"/>
              </w:rPr>
              <w:t xml:space="preserve">allow </w:t>
            </w:r>
            <w:r w:rsidR="00FA4717" w:rsidRPr="0040446A">
              <w:rPr>
                <w:rFonts w:asciiTheme="minorHAnsi" w:hAnsiTheme="minorHAnsi"/>
              </w:rPr>
              <w:t xml:space="preserve">the Tenant </w:t>
            </w:r>
            <w:r>
              <w:rPr>
                <w:rFonts w:asciiTheme="minorHAnsi" w:hAnsiTheme="minorHAnsi"/>
              </w:rPr>
              <w:t xml:space="preserve">to use </w:t>
            </w:r>
            <w:r w:rsidRPr="0040446A">
              <w:rPr>
                <w:rFonts w:asciiTheme="minorHAnsi" w:hAnsiTheme="minorHAnsi"/>
              </w:rPr>
              <w:t>one (1) non-reserved parking space</w:t>
            </w:r>
            <w:r>
              <w:rPr>
                <w:rFonts w:asciiTheme="minorHAnsi" w:hAnsiTheme="minorHAnsi"/>
              </w:rPr>
              <w:t xml:space="preserve"> located</w:t>
            </w:r>
            <w:r w:rsidRPr="0040446A">
              <w:rPr>
                <w:rFonts w:asciiTheme="minorHAnsi" w:hAnsiTheme="minorHAnsi"/>
              </w:rPr>
              <w:t xml:space="preserve"> on -3</w:t>
            </w:r>
            <w:r w:rsidRPr="0040446A">
              <w:rPr>
                <w:rFonts w:asciiTheme="minorHAnsi" w:hAnsiTheme="minorHAnsi"/>
                <w:vertAlign w:val="superscript"/>
              </w:rPr>
              <w:t>rd</w:t>
            </w:r>
            <w:r w:rsidRPr="0040446A">
              <w:rPr>
                <w:rFonts w:asciiTheme="minorHAnsi" w:hAnsiTheme="minorHAnsi"/>
              </w:rPr>
              <w:t xml:space="preserve"> or -4</w:t>
            </w:r>
            <w:r w:rsidRPr="0040446A">
              <w:rPr>
                <w:rFonts w:asciiTheme="minorHAnsi" w:hAnsiTheme="minorHAnsi"/>
                <w:vertAlign w:val="superscript"/>
              </w:rPr>
              <w:t>th</w:t>
            </w:r>
            <w:r w:rsidRPr="0040446A">
              <w:rPr>
                <w:rFonts w:asciiTheme="minorHAnsi" w:hAnsiTheme="minorHAnsi"/>
              </w:rPr>
              <w:t xml:space="preserve"> level of the Carlton Garage (“</w:t>
            </w:r>
            <w:r w:rsidRPr="0040446A">
              <w:rPr>
                <w:rFonts w:asciiTheme="minorHAnsi" w:hAnsiTheme="minorHAnsi"/>
                <w:b/>
              </w:rPr>
              <w:t>Parking space</w:t>
            </w:r>
            <w:r w:rsidRPr="0040446A">
              <w:rPr>
                <w:rFonts w:asciiTheme="minorHAnsi" w:hAnsiTheme="minorHAnsi"/>
              </w:rPr>
              <w:t>”)</w:t>
            </w:r>
            <w:r>
              <w:rPr>
                <w:rFonts w:asciiTheme="minorHAnsi" w:hAnsiTheme="minorHAnsi"/>
              </w:rPr>
              <w:t xml:space="preserve"> and provide the Tenant </w:t>
            </w:r>
            <w:r w:rsidR="00322AF6">
              <w:rPr>
                <w:rFonts w:asciiTheme="minorHAnsi" w:hAnsiTheme="minorHAnsi"/>
              </w:rPr>
              <w:t xml:space="preserve">with a </w:t>
            </w:r>
            <w:r w:rsidR="00FA4717" w:rsidRPr="0040446A">
              <w:rPr>
                <w:rFonts w:asciiTheme="minorHAnsi" w:hAnsiTheme="minorHAnsi"/>
              </w:rPr>
              <w:t>parking card</w:t>
            </w:r>
            <w:r w:rsidR="00322AF6">
              <w:rPr>
                <w:rFonts w:asciiTheme="minorHAnsi" w:hAnsiTheme="minorHAnsi"/>
              </w:rPr>
              <w:t xml:space="preserve"> for this purpose</w:t>
            </w:r>
            <w:r w:rsidR="00FA4717" w:rsidRPr="0040446A">
              <w:rPr>
                <w:rFonts w:asciiTheme="minorHAnsi" w:hAnsiTheme="minorHAnsi"/>
              </w:rPr>
              <w:t>.</w:t>
            </w:r>
            <w:r w:rsidR="00FA4717">
              <w:rPr>
                <w:rFonts w:asciiTheme="minorHAnsi" w:hAnsiTheme="minorHAnsi"/>
              </w:rPr>
              <w:t xml:space="preserve"> By takeover of the parking card the Tenant undertakes to adhere</w:t>
            </w:r>
            <w:r w:rsidR="005E386C">
              <w:rPr>
                <w:rFonts w:asciiTheme="minorHAnsi" w:hAnsiTheme="minorHAnsi"/>
              </w:rPr>
              <w:t xml:space="preserve"> Carlton Garage operating rules </w:t>
            </w:r>
            <w:r w:rsidR="00FA4717">
              <w:rPr>
                <w:rFonts w:asciiTheme="minorHAnsi" w:hAnsiTheme="minorHAnsi"/>
              </w:rPr>
              <w:t xml:space="preserve">attached to this Agreement as </w:t>
            </w:r>
            <w:r w:rsidR="00FA4717" w:rsidRPr="0040446A">
              <w:rPr>
                <w:rFonts w:asciiTheme="minorHAnsi" w:hAnsiTheme="minorHAnsi"/>
                <w:b/>
              </w:rPr>
              <w:t xml:space="preserve">Annex no. </w:t>
            </w:r>
            <w:r w:rsidR="005E386C" w:rsidRPr="002136B9">
              <w:rPr>
                <w:rFonts w:asciiTheme="minorHAnsi" w:hAnsiTheme="minorHAnsi"/>
                <w:b/>
              </w:rPr>
              <w:t>4</w:t>
            </w:r>
            <w:r w:rsidR="00FA4717">
              <w:rPr>
                <w:rFonts w:asciiTheme="minorHAnsi" w:hAnsiTheme="minorHAnsi"/>
              </w:rPr>
              <w:t xml:space="preserve">. The Lessor </w:t>
            </w:r>
            <w:r w:rsidR="004F0448">
              <w:rPr>
                <w:rFonts w:asciiTheme="minorHAnsi" w:hAnsiTheme="minorHAnsi"/>
              </w:rPr>
              <w:t xml:space="preserve">reserves the right to </w:t>
            </w:r>
            <w:r w:rsidR="00322AF6">
              <w:rPr>
                <w:rFonts w:asciiTheme="minorHAnsi" w:hAnsiTheme="minorHAnsi"/>
              </w:rPr>
              <w:t>terminate the</w:t>
            </w:r>
            <w:r w:rsidR="004F0448">
              <w:rPr>
                <w:rFonts w:asciiTheme="minorHAnsi" w:hAnsiTheme="minorHAnsi"/>
              </w:rPr>
              <w:t xml:space="preserve"> use of the Parking space </w:t>
            </w:r>
            <w:r w:rsidR="00322AF6">
              <w:rPr>
                <w:rFonts w:asciiTheme="minorHAnsi" w:hAnsiTheme="minorHAnsi"/>
              </w:rPr>
              <w:t>by the Tenant under this Section at any time during the T</w:t>
            </w:r>
            <w:r w:rsidR="004F0448">
              <w:rPr>
                <w:rFonts w:asciiTheme="minorHAnsi" w:hAnsiTheme="minorHAnsi"/>
              </w:rPr>
              <w:t>erm, in that case the Tenant shall return the pa</w:t>
            </w:r>
            <w:r w:rsidR="00322AF6">
              <w:rPr>
                <w:rFonts w:asciiTheme="minorHAnsi" w:hAnsiTheme="minorHAnsi"/>
              </w:rPr>
              <w:t>rking card to the Lessor no lat</w:t>
            </w:r>
            <w:r w:rsidR="004F0448">
              <w:rPr>
                <w:rFonts w:asciiTheme="minorHAnsi" w:hAnsiTheme="minorHAnsi"/>
              </w:rPr>
              <w:t>er then on the day following the deliver</w:t>
            </w:r>
            <w:r w:rsidR="00322AF6">
              <w:rPr>
                <w:rFonts w:asciiTheme="minorHAnsi" w:hAnsiTheme="minorHAnsi"/>
              </w:rPr>
              <w:t>y of the Lessor`s notice</w:t>
            </w:r>
            <w:r w:rsidR="004F0448">
              <w:rPr>
                <w:rFonts w:asciiTheme="minorHAnsi" w:hAnsiTheme="minorHAnsi"/>
              </w:rPr>
              <w:t>.</w:t>
            </w:r>
            <w:r w:rsidR="00322AF6">
              <w:rPr>
                <w:rFonts w:asciiTheme="minorHAnsi" w:hAnsiTheme="minorHAnsi"/>
              </w:rPr>
              <w:t xml:space="preserve"> T</w:t>
            </w:r>
            <w:r w:rsidR="004F0448">
              <w:rPr>
                <w:rFonts w:asciiTheme="minorHAnsi" w:hAnsiTheme="minorHAnsi"/>
              </w:rPr>
              <w:t xml:space="preserve">he </w:t>
            </w:r>
            <w:r w:rsidR="00322AF6">
              <w:rPr>
                <w:rFonts w:asciiTheme="minorHAnsi" w:hAnsiTheme="minorHAnsi"/>
              </w:rPr>
              <w:t xml:space="preserve">right </w:t>
            </w:r>
            <w:r w:rsidR="004F0448">
              <w:rPr>
                <w:rFonts w:asciiTheme="minorHAnsi" w:hAnsiTheme="minorHAnsi"/>
              </w:rPr>
              <w:t xml:space="preserve">to use of Parking space will cease to exist on the date of the termination of the Agreement </w:t>
            </w:r>
            <w:r w:rsidR="00322AF6">
              <w:rPr>
                <w:rFonts w:asciiTheme="minorHAnsi" w:hAnsiTheme="minorHAnsi"/>
              </w:rPr>
              <w:t xml:space="preserve">at the latest </w:t>
            </w:r>
            <w:r w:rsidR="004F0448">
              <w:rPr>
                <w:rFonts w:asciiTheme="minorHAnsi" w:hAnsiTheme="minorHAnsi"/>
              </w:rPr>
              <w:t>and the Tenant shall handover parking card to the Lessor on the</w:t>
            </w:r>
            <w:r w:rsidR="00322AF6">
              <w:rPr>
                <w:rFonts w:asciiTheme="minorHAnsi" w:hAnsiTheme="minorHAnsi"/>
              </w:rPr>
              <w:t xml:space="preserve"> same date at the latest.</w:t>
            </w:r>
          </w:p>
          <w:p w14:paraId="06605BED" w14:textId="57856B83" w:rsidR="00DA2558" w:rsidRPr="0040446A" w:rsidRDefault="00DA2558" w:rsidP="00AC5C30">
            <w:pPr>
              <w:pStyle w:val="SKAgreementL2"/>
              <w:numPr>
                <w:ilvl w:val="0"/>
                <w:numId w:val="0"/>
              </w:numPr>
              <w:rPr>
                <w:rFonts w:asciiTheme="minorHAnsi" w:hAnsiTheme="minorHAnsi"/>
              </w:rPr>
            </w:pPr>
          </w:p>
        </w:tc>
        <w:tc>
          <w:tcPr>
            <w:tcW w:w="4699" w:type="dxa"/>
          </w:tcPr>
          <w:p w14:paraId="4C6B4F94" w14:textId="42377307" w:rsidR="00DA2558" w:rsidRPr="00AC5C30" w:rsidRDefault="00CB13A8" w:rsidP="00AC5C30">
            <w:pPr>
              <w:pStyle w:val="SKAgreementL2"/>
              <w:numPr>
                <w:ilvl w:val="1"/>
                <w:numId w:val="21"/>
              </w:numPr>
              <w:rPr>
                <w:rFonts w:asciiTheme="minorHAnsi" w:hAnsiTheme="minorHAnsi"/>
                <w:lang w:val="sk-SK"/>
              </w:rPr>
            </w:pPr>
            <w:bookmarkStart w:id="4" w:name="_GoBack"/>
            <w:bookmarkEnd w:id="4"/>
            <w:r w:rsidRPr="0040446A">
              <w:rPr>
                <w:rFonts w:asciiTheme="minorHAnsi" w:hAnsiTheme="minorHAnsi"/>
                <w:lang w:val="sk-SK"/>
              </w:rPr>
              <w:t xml:space="preserve">Zmluvné strany sa dohodli, že </w:t>
            </w:r>
            <w:r w:rsidR="0040446A" w:rsidRPr="0040446A">
              <w:rPr>
                <w:rFonts w:asciiTheme="minorHAnsi" w:hAnsiTheme="minorHAnsi"/>
                <w:lang w:val="sk-SK"/>
              </w:rPr>
              <w:t xml:space="preserve">Prenajímateľ </w:t>
            </w:r>
            <w:r w:rsidRPr="0040446A">
              <w:rPr>
                <w:rFonts w:asciiTheme="minorHAnsi" w:hAnsiTheme="minorHAnsi"/>
                <w:lang w:val="sk-SK"/>
              </w:rPr>
              <w:t xml:space="preserve">na požiadanie </w:t>
            </w:r>
            <w:r w:rsidR="0054605D">
              <w:rPr>
                <w:rFonts w:asciiTheme="minorHAnsi" w:hAnsiTheme="minorHAnsi"/>
                <w:lang w:val="sk-SK"/>
              </w:rPr>
              <w:t xml:space="preserve">umožní </w:t>
            </w:r>
            <w:r w:rsidR="0054605D" w:rsidRPr="0040446A">
              <w:rPr>
                <w:rFonts w:asciiTheme="minorHAnsi" w:hAnsiTheme="minorHAnsi"/>
                <w:lang w:val="sk-SK"/>
              </w:rPr>
              <w:t>Nájomcovi</w:t>
            </w:r>
            <w:r w:rsidR="0054605D">
              <w:rPr>
                <w:rFonts w:asciiTheme="minorHAnsi" w:hAnsiTheme="minorHAnsi"/>
                <w:lang w:val="sk-SK"/>
              </w:rPr>
              <w:t xml:space="preserve"> užívať jedno</w:t>
            </w:r>
            <w:r w:rsidR="00A376E5" w:rsidRPr="0040446A">
              <w:rPr>
                <w:rFonts w:asciiTheme="minorHAnsi" w:hAnsiTheme="minorHAnsi"/>
                <w:lang w:val="sk-SK"/>
              </w:rPr>
              <w:t xml:space="preserve"> (1)</w:t>
            </w:r>
            <w:r w:rsidR="0054605D">
              <w:rPr>
                <w:rFonts w:asciiTheme="minorHAnsi" w:hAnsiTheme="minorHAnsi"/>
                <w:lang w:val="sk-SK"/>
              </w:rPr>
              <w:t xml:space="preserve"> nevyhradené parkovacie miesto</w:t>
            </w:r>
            <w:r w:rsidR="00A376E5" w:rsidRPr="0040446A">
              <w:rPr>
                <w:rFonts w:asciiTheme="minorHAnsi" w:hAnsiTheme="minorHAnsi"/>
                <w:lang w:val="sk-SK"/>
              </w:rPr>
              <w:t xml:space="preserve"> na -3 alebo -4 podlaží garáže Carlton</w:t>
            </w:r>
            <w:r w:rsidR="00852040" w:rsidRPr="0040446A">
              <w:rPr>
                <w:rFonts w:asciiTheme="minorHAnsi" w:hAnsiTheme="minorHAnsi"/>
                <w:lang w:val="sk-SK"/>
              </w:rPr>
              <w:t xml:space="preserve"> („</w:t>
            </w:r>
            <w:r w:rsidR="00852040" w:rsidRPr="0040446A">
              <w:rPr>
                <w:rFonts w:asciiTheme="minorHAnsi" w:hAnsiTheme="minorHAnsi"/>
                <w:b/>
                <w:lang w:val="sk-SK"/>
              </w:rPr>
              <w:t>Parkovacie miesto</w:t>
            </w:r>
            <w:r w:rsidR="00852040" w:rsidRPr="0040446A">
              <w:rPr>
                <w:rFonts w:asciiTheme="minorHAnsi" w:hAnsiTheme="minorHAnsi"/>
                <w:lang w:val="sk-SK"/>
              </w:rPr>
              <w:t>“)</w:t>
            </w:r>
            <w:r w:rsidR="0054605D">
              <w:rPr>
                <w:rFonts w:asciiTheme="minorHAnsi" w:hAnsiTheme="minorHAnsi"/>
                <w:lang w:val="sk-SK"/>
              </w:rPr>
              <w:t xml:space="preserve"> a za tým účelom </w:t>
            </w:r>
            <w:r w:rsidR="0054605D" w:rsidRPr="0040446A">
              <w:rPr>
                <w:rFonts w:asciiTheme="minorHAnsi" w:hAnsiTheme="minorHAnsi"/>
                <w:lang w:val="sk-SK"/>
              </w:rPr>
              <w:t xml:space="preserve">poskytne </w:t>
            </w:r>
            <w:r w:rsidR="0054605D">
              <w:rPr>
                <w:rFonts w:asciiTheme="minorHAnsi" w:hAnsiTheme="minorHAnsi"/>
                <w:lang w:val="sk-SK"/>
              </w:rPr>
              <w:t xml:space="preserve">Nájomcovi </w:t>
            </w:r>
            <w:r w:rsidR="0054605D" w:rsidRPr="0040446A">
              <w:rPr>
                <w:rFonts w:asciiTheme="minorHAnsi" w:hAnsiTheme="minorHAnsi"/>
                <w:lang w:val="sk-SK"/>
              </w:rPr>
              <w:t>parkovaciu kartu</w:t>
            </w:r>
            <w:r w:rsidR="0054605D">
              <w:rPr>
                <w:rFonts w:asciiTheme="minorHAnsi" w:hAnsiTheme="minorHAnsi"/>
                <w:lang w:val="sk-SK"/>
              </w:rPr>
              <w:t xml:space="preserve">. </w:t>
            </w:r>
            <w:r w:rsidRPr="0040446A">
              <w:rPr>
                <w:rFonts w:asciiTheme="minorHAnsi" w:hAnsiTheme="minorHAnsi"/>
                <w:lang w:val="sk-SK"/>
              </w:rPr>
              <w:t>Prevzatím parkovacej karty sa Nájomca zaväzuje dodr</w:t>
            </w:r>
            <w:r w:rsidR="005844EB" w:rsidRPr="0040446A">
              <w:rPr>
                <w:rFonts w:asciiTheme="minorHAnsi" w:hAnsiTheme="minorHAnsi"/>
                <w:lang w:val="sk-SK"/>
              </w:rPr>
              <w:t>žiavať</w:t>
            </w:r>
            <w:r w:rsidR="005E386C" w:rsidRPr="0040446A">
              <w:rPr>
                <w:rFonts w:asciiTheme="minorHAnsi" w:hAnsiTheme="minorHAnsi"/>
                <w:lang w:val="sk-SK"/>
              </w:rPr>
              <w:t xml:space="preserve"> Prevádzkový poriadok Garáže Carlton</w:t>
            </w:r>
            <w:r w:rsidR="0054605D">
              <w:rPr>
                <w:rFonts w:asciiTheme="minorHAnsi" w:hAnsiTheme="minorHAnsi"/>
                <w:lang w:val="sk-SK"/>
              </w:rPr>
              <w:t>,</w:t>
            </w:r>
            <w:r w:rsidR="005E386C" w:rsidRPr="0040446A">
              <w:rPr>
                <w:rFonts w:asciiTheme="minorHAnsi" w:hAnsiTheme="minorHAnsi"/>
                <w:lang w:val="sk-SK"/>
              </w:rPr>
              <w:t xml:space="preserve"> </w:t>
            </w:r>
            <w:r w:rsidR="002136B9" w:rsidRPr="0040446A">
              <w:rPr>
                <w:rFonts w:asciiTheme="minorHAnsi" w:hAnsiTheme="minorHAnsi"/>
                <w:lang w:val="sk-SK"/>
              </w:rPr>
              <w:t>ktorý</w:t>
            </w:r>
            <w:r w:rsidR="00A376E5" w:rsidRPr="0040446A">
              <w:rPr>
                <w:rFonts w:asciiTheme="minorHAnsi" w:hAnsiTheme="minorHAnsi"/>
                <w:lang w:val="sk-SK"/>
              </w:rPr>
              <w:t xml:space="preserve"> </w:t>
            </w:r>
            <w:r w:rsidR="002136B9" w:rsidRPr="0040446A">
              <w:rPr>
                <w:rFonts w:asciiTheme="minorHAnsi" w:hAnsiTheme="minorHAnsi"/>
                <w:lang w:val="sk-SK"/>
              </w:rPr>
              <w:t>je pripojený</w:t>
            </w:r>
            <w:r w:rsidR="00A376E5" w:rsidRPr="0040446A">
              <w:rPr>
                <w:rFonts w:asciiTheme="minorHAnsi" w:hAnsiTheme="minorHAnsi"/>
                <w:lang w:val="sk-SK"/>
              </w:rPr>
              <w:t xml:space="preserve"> k tejto Zmluve ako </w:t>
            </w:r>
            <w:r w:rsidR="00A376E5" w:rsidRPr="0040446A">
              <w:rPr>
                <w:rFonts w:asciiTheme="minorHAnsi" w:hAnsiTheme="minorHAnsi"/>
                <w:b/>
                <w:lang w:val="sk-SK"/>
              </w:rPr>
              <w:t>P</w:t>
            </w:r>
            <w:r w:rsidR="005E386C" w:rsidRPr="0040446A">
              <w:rPr>
                <w:rFonts w:asciiTheme="minorHAnsi" w:hAnsiTheme="minorHAnsi"/>
                <w:b/>
                <w:lang w:val="sk-SK"/>
              </w:rPr>
              <w:t>ríloha číslo č. 4</w:t>
            </w:r>
            <w:r w:rsidR="00A376E5" w:rsidRPr="0040446A">
              <w:rPr>
                <w:rFonts w:asciiTheme="minorHAnsi" w:hAnsiTheme="minorHAnsi"/>
                <w:lang w:val="sk-SK"/>
              </w:rPr>
              <w:t xml:space="preserve">. Prenajímateľ si vyhradzuje právo kedykoľvek počas trvania Zmluvy </w:t>
            </w:r>
            <w:r w:rsidR="0040446A">
              <w:rPr>
                <w:rFonts w:asciiTheme="minorHAnsi" w:hAnsiTheme="minorHAnsi"/>
                <w:lang w:val="sk-SK"/>
              </w:rPr>
              <w:t>rozhodnúť o ukončení užívania</w:t>
            </w:r>
            <w:r w:rsidR="00852040" w:rsidRPr="0040446A">
              <w:rPr>
                <w:rFonts w:asciiTheme="minorHAnsi" w:hAnsiTheme="minorHAnsi"/>
                <w:lang w:val="sk-SK"/>
              </w:rPr>
              <w:t xml:space="preserve"> Parkovacieho miesta</w:t>
            </w:r>
            <w:r w:rsidR="0040446A">
              <w:rPr>
                <w:rFonts w:asciiTheme="minorHAnsi" w:hAnsiTheme="minorHAnsi"/>
                <w:lang w:val="sk-SK"/>
              </w:rPr>
              <w:t xml:space="preserve"> Nájomcom podľa tohto bodu Zmluvy</w:t>
            </w:r>
            <w:r w:rsidR="00A376E5" w:rsidRPr="0040446A">
              <w:rPr>
                <w:rFonts w:asciiTheme="minorHAnsi" w:hAnsiTheme="minorHAnsi"/>
                <w:lang w:val="sk-SK"/>
              </w:rPr>
              <w:t xml:space="preserve"> a v takom prípade je Nájomca povinný vrátiť Prenajímateľovi parkovaciu kartu </w:t>
            </w:r>
            <w:r w:rsidR="00852040" w:rsidRPr="0040446A">
              <w:rPr>
                <w:rFonts w:asciiTheme="minorHAnsi" w:hAnsiTheme="minorHAnsi"/>
                <w:lang w:val="sk-SK"/>
              </w:rPr>
              <w:t xml:space="preserve">najneskôr v deň nasledujúci po dni doručenia </w:t>
            </w:r>
            <w:r w:rsidR="0040446A">
              <w:rPr>
                <w:rFonts w:asciiTheme="minorHAnsi" w:hAnsiTheme="minorHAnsi"/>
                <w:lang w:val="sk-SK"/>
              </w:rPr>
              <w:t>výzvy</w:t>
            </w:r>
            <w:r w:rsidR="0054605D">
              <w:rPr>
                <w:rFonts w:asciiTheme="minorHAnsi" w:hAnsiTheme="minorHAnsi"/>
                <w:lang w:val="sk-SK"/>
              </w:rPr>
              <w:t xml:space="preserve"> Prenajímateľa</w:t>
            </w:r>
            <w:r w:rsidR="00852040" w:rsidRPr="0040446A">
              <w:rPr>
                <w:rFonts w:asciiTheme="minorHAnsi" w:hAnsiTheme="minorHAnsi"/>
                <w:lang w:val="sk-SK"/>
              </w:rPr>
              <w:t xml:space="preserve">. </w:t>
            </w:r>
            <w:r w:rsidR="0054605D">
              <w:rPr>
                <w:rFonts w:asciiTheme="minorHAnsi" w:hAnsiTheme="minorHAnsi"/>
                <w:lang w:val="sk-SK"/>
              </w:rPr>
              <w:t>K</w:t>
            </w:r>
            <w:r w:rsidR="00852040" w:rsidRPr="0040446A">
              <w:rPr>
                <w:rFonts w:asciiTheme="minorHAnsi" w:hAnsiTheme="minorHAnsi"/>
                <w:lang w:val="sk-SK"/>
              </w:rPr>
              <w:t xml:space="preserve"> zániku oprávnenia užívať Parkovacie miesto </w:t>
            </w:r>
            <w:r w:rsidR="0054605D">
              <w:rPr>
                <w:rFonts w:asciiTheme="minorHAnsi" w:hAnsiTheme="minorHAnsi"/>
                <w:lang w:val="sk-SK"/>
              </w:rPr>
              <w:t xml:space="preserve">dochádza </w:t>
            </w:r>
            <w:r w:rsidR="00852040" w:rsidRPr="0040446A">
              <w:rPr>
                <w:rFonts w:asciiTheme="minorHAnsi" w:hAnsiTheme="minorHAnsi"/>
                <w:lang w:val="sk-SK"/>
              </w:rPr>
              <w:t>najneskôr dňom zániku Zmluvy</w:t>
            </w:r>
            <w:r w:rsidR="0054605D">
              <w:rPr>
                <w:rFonts w:asciiTheme="minorHAnsi" w:hAnsiTheme="minorHAnsi"/>
                <w:lang w:val="sk-SK"/>
              </w:rPr>
              <w:t>,</w:t>
            </w:r>
            <w:r w:rsidR="00852040" w:rsidRPr="0040446A">
              <w:rPr>
                <w:rFonts w:asciiTheme="minorHAnsi" w:hAnsiTheme="minorHAnsi"/>
                <w:lang w:val="sk-SK"/>
              </w:rPr>
              <w:t xml:space="preserve"> pričom Nájomca je povinný odovzdať parkovaciu kartu Prenajímateľovi najneskôr v deň zániku Zmluvy.</w:t>
            </w:r>
          </w:p>
        </w:tc>
      </w:tr>
      <w:tr w:rsidR="00AC5C30" w:rsidRPr="0090766C" w14:paraId="1553FFF6" w14:textId="77777777" w:rsidTr="002F2988">
        <w:tc>
          <w:tcPr>
            <w:tcW w:w="4697" w:type="dxa"/>
          </w:tcPr>
          <w:p w14:paraId="7C06138E" w14:textId="1FA5BB0B" w:rsidR="00AC5C30" w:rsidRDefault="00AC5C30" w:rsidP="00810FD1">
            <w:pPr>
              <w:pStyle w:val="SKAgreementL2"/>
              <w:numPr>
                <w:ilvl w:val="0"/>
                <w:numId w:val="0"/>
              </w:numPr>
              <w:rPr>
                <w:rFonts w:asciiTheme="minorHAnsi" w:hAnsiTheme="minorHAnsi"/>
              </w:rPr>
            </w:pPr>
          </w:p>
        </w:tc>
        <w:tc>
          <w:tcPr>
            <w:tcW w:w="4699" w:type="dxa"/>
          </w:tcPr>
          <w:p w14:paraId="102923ED" w14:textId="75036E27" w:rsidR="00AC5C30" w:rsidRPr="00084D51" w:rsidRDefault="00AC5C30" w:rsidP="00810FD1">
            <w:pPr>
              <w:pStyle w:val="SKAgreementL2"/>
              <w:numPr>
                <w:ilvl w:val="0"/>
                <w:numId w:val="0"/>
              </w:numPr>
              <w:ind w:left="567" w:hanging="567"/>
              <w:rPr>
                <w:rFonts w:asciiTheme="minorHAnsi" w:hAnsiTheme="minorHAnsi"/>
                <w:lang w:val="sk-SK"/>
              </w:rPr>
            </w:pPr>
          </w:p>
        </w:tc>
      </w:tr>
      <w:tr w:rsidR="00432CAD" w:rsidRPr="0090766C" w14:paraId="1D3A25AC" w14:textId="77777777" w:rsidTr="002F2988">
        <w:trPr>
          <w:hidden/>
        </w:trPr>
        <w:tc>
          <w:tcPr>
            <w:tcW w:w="4697" w:type="dxa"/>
          </w:tcPr>
          <w:p w14:paraId="5BFA35AF" w14:textId="77777777" w:rsidR="00D84D6B" w:rsidRPr="00D84D6B" w:rsidRDefault="00D84D6B" w:rsidP="002F2988">
            <w:pPr>
              <w:pStyle w:val="ListParagraph"/>
              <w:keepNext/>
              <w:numPr>
                <w:ilvl w:val="0"/>
                <w:numId w:val="2"/>
              </w:numPr>
              <w:contextualSpacing w:val="0"/>
              <w:jc w:val="left"/>
              <w:rPr>
                <w:rFonts w:asciiTheme="minorHAnsi" w:eastAsia="Calibri" w:hAnsiTheme="minorHAnsi"/>
                <w:b/>
                <w:caps/>
                <w:vanish/>
                <w:sz w:val="20"/>
              </w:rPr>
            </w:pPr>
          </w:p>
          <w:p w14:paraId="29D2B65D" w14:textId="32B4C51A" w:rsidR="00432CAD" w:rsidRPr="00F36588" w:rsidRDefault="00432CAD" w:rsidP="002F2988">
            <w:pPr>
              <w:pStyle w:val="ENAgreementL1"/>
              <w:numPr>
                <w:ilvl w:val="0"/>
                <w:numId w:val="2"/>
              </w:numPr>
              <w:rPr>
                <w:rFonts w:asciiTheme="minorHAnsi" w:hAnsiTheme="minorHAnsi"/>
              </w:rPr>
            </w:pPr>
            <w:r w:rsidRPr="00F36588">
              <w:rPr>
                <w:rFonts w:asciiTheme="minorHAnsi" w:hAnsiTheme="minorHAnsi"/>
              </w:rPr>
              <w:t>FINAL PROVISIONS</w:t>
            </w:r>
          </w:p>
        </w:tc>
        <w:tc>
          <w:tcPr>
            <w:tcW w:w="4699" w:type="dxa"/>
          </w:tcPr>
          <w:p w14:paraId="13AADF03" w14:textId="77777777" w:rsidR="00432CAD" w:rsidRPr="00EA72E7" w:rsidRDefault="00432CAD" w:rsidP="002F2988">
            <w:pPr>
              <w:pStyle w:val="SKAgreementL1"/>
              <w:rPr>
                <w:rFonts w:asciiTheme="minorHAnsi" w:hAnsiTheme="minorHAnsi"/>
                <w:lang w:val="sk-SK"/>
              </w:rPr>
            </w:pPr>
            <w:r w:rsidRPr="00EA72E7">
              <w:rPr>
                <w:rFonts w:asciiTheme="minorHAnsi" w:hAnsiTheme="minorHAnsi"/>
                <w:lang w:val="sk-SK"/>
              </w:rPr>
              <w:t>ZÁVEREČNÉ USTANOVENIA</w:t>
            </w:r>
          </w:p>
        </w:tc>
      </w:tr>
      <w:tr w:rsidR="00432CAD" w:rsidRPr="0090766C" w14:paraId="3BCC08E4" w14:textId="77777777" w:rsidTr="002F2988">
        <w:tc>
          <w:tcPr>
            <w:tcW w:w="4697" w:type="dxa"/>
          </w:tcPr>
          <w:p w14:paraId="5AC3F812" w14:textId="77777777" w:rsidR="00432CAD" w:rsidRPr="00F36588" w:rsidRDefault="00432CAD" w:rsidP="002F2988">
            <w:pPr>
              <w:pStyle w:val="ENAgreementL2"/>
              <w:numPr>
                <w:ilvl w:val="1"/>
                <w:numId w:val="2"/>
              </w:numPr>
              <w:rPr>
                <w:rFonts w:asciiTheme="minorHAnsi" w:hAnsiTheme="minorHAnsi"/>
              </w:rPr>
            </w:pPr>
            <w:r w:rsidRPr="00F36588">
              <w:rPr>
                <w:rFonts w:asciiTheme="minorHAnsi" w:hAnsiTheme="minorHAnsi"/>
              </w:rPr>
              <w:t>Both the Lessor and the Tenant agree not to disclose the terms and conditions of the Agreement to any third party (other than to their respective financing bank and to legal or other professional advisors or as required by applicable law) without the prior written consent of the other party.</w:t>
            </w:r>
          </w:p>
        </w:tc>
        <w:tc>
          <w:tcPr>
            <w:tcW w:w="4699" w:type="dxa"/>
          </w:tcPr>
          <w:p w14:paraId="2B10BA69" w14:textId="77777777" w:rsidR="00432CAD" w:rsidRPr="00EA72E7" w:rsidRDefault="00432CAD" w:rsidP="002F2988">
            <w:pPr>
              <w:pStyle w:val="SKAgreementL2"/>
              <w:rPr>
                <w:rFonts w:asciiTheme="minorHAnsi" w:hAnsiTheme="minorHAnsi"/>
                <w:lang w:val="sk-SK"/>
              </w:rPr>
            </w:pPr>
            <w:r w:rsidRPr="00EA72E7">
              <w:rPr>
                <w:rFonts w:asciiTheme="minorHAnsi" w:hAnsiTheme="minorHAnsi"/>
                <w:lang w:val="sk-SK"/>
              </w:rPr>
              <w:t>Prenajímateľ a Nájomca súhlasia s tým, že neposkytnú podmienky Zmluvy tretej strane (inej ako ich príslušnej financujúcej banke a právnym a iným odborným poradcom alebo ako je požadované príslušným zákonom) bez predchádzajúceho písomného súhlasu druhej strany.</w:t>
            </w:r>
          </w:p>
        </w:tc>
      </w:tr>
      <w:tr w:rsidR="00432CAD" w:rsidRPr="0090766C" w14:paraId="6C64DF5F" w14:textId="77777777" w:rsidTr="002F2988">
        <w:tc>
          <w:tcPr>
            <w:tcW w:w="4697" w:type="dxa"/>
          </w:tcPr>
          <w:p w14:paraId="1D7DD5E4" w14:textId="77777777" w:rsidR="00432CAD" w:rsidRPr="00F36588" w:rsidRDefault="00432CAD" w:rsidP="002F2988">
            <w:pPr>
              <w:pStyle w:val="ENAgreementL1"/>
              <w:numPr>
                <w:ilvl w:val="0"/>
                <w:numId w:val="2"/>
              </w:numPr>
              <w:rPr>
                <w:rFonts w:asciiTheme="minorHAnsi" w:hAnsiTheme="minorHAnsi"/>
              </w:rPr>
            </w:pPr>
            <w:r w:rsidRPr="00F36588">
              <w:rPr>
                <w:rFonts w:asciiTheme="minorHAnsi" w:hAnsiTheme="minorHAnsi"/>
              </w:rPr>
              <w:t>DEVIATIONS FROM STANDARD TERMS AND CONDITIONS</w:t>
            </w:r>
          </w:p>
        </w:tc>
        <w:tc>
          <w:tcPr>
            <w:tcW w:w="4699" w:type="dxa"/>
          </w:tcPr>
          <w:p w14:paraId="7F83551B" w14:textId="77777777" w:rsidR="00432CAD" w:rsidRPr="00EA72E7" w:rsidRDefault="00432CAD" w:rsidP="002F2988">
            <w:pPr>
              <w:pStyle w:val="SKAgreementL1"/>
              <w:rPr>
                <w:rFonts w:asciiTheme="minorHAnsi" w:hAnsiTheme="minorHAnsi"/>
                <w:lang w:val="sk-SK"/>
              </w:rPr>
            </w:pPr>
            <w:r w:rsidRPr="00EA72E7">
              <w:rPr>
                <w:rFonts w:asciiTheme="minorHAnsi" w:hAnsiTheme="minorHAnsi"/>
                <w:lang w:val="sk-SK"/>
              </w:rPr>
              <w:t>ODCHÝLKY OD ŠTANDARDNÝCH PODMIENOK</w:t>
            </w:r>
          </w:p>
        </w:tc>
      </w:tr>
      <w:tr w:rsidR="00432CAD" w:rsidRPr="0090766C" w14:paraId="08A8D5CD" w14:textId="77777777" w:rsidTr="002F2988">
        <w:tc>
          <w:tcPr>
            <w:tcW w:w="4697" w:type="dxa"/>
          </w:tcPr>
          <w:p w14:paraId="56B85A50" w14:textId="2D010F45" w:rsidR="00432CAD" w:rsidRDefault="004F0448">
            <w:pPr>
              <w:pStyle w:val="ENAgreementL2"/>
              <w:numPr>
                <w:ilvl w:val="1"/>
                <w:numId w:val="2"/>
              </w:numPr>
              <w:rPr>
                <w:rFonts w:asciiTheme="minorHAnsi" w:hAnsiTheme="minorHAnsi"/>
              </w:rPr>
            </w:pPr>
            <w:r>
              <w:rPr>
                <w:rFonts w:asciiTheme="minorHAnsi" w:hAnsiTheme="minorHAnsi"/>
              </w:rPr>
              <w:t xml:space="preserve">The following </w:t>
            </w:r>
            <w:r w:rsidR="00677E28" w:rsidRPr="000E761A">
              <w:rPr>
                <w:rFonts w:asciiTheme="minorHAnsi" w:hAnsiTheme="minorHAnsi"/>
              </w:rPr>
              <w:t>deviations from the Standard Terms and Conditions have been agreed.</w:t>
            </w:r>
          </w:p>
          <w:p w14:paraId="3C57A65D" w14:textId="77777777" w:rsidR="00CC078A" w:rsidRPr="0040446A" w:rsidRDefault="00CC078A" w:rsidP="0040446A">
            <w:pPr>
              <w:pStyle w:val="ENAgreementL3"/>
              <w:rPr>
                <w:rFonts w:asciiTheme="minorHAnsi" w:hAnsiTheme="minorHAnsi"/>
              </w:rPr>
            </w:pPr>
            <w:r w:rsidRPr="0040446A">
              <w:rPr>
                <w:rFonts w:asciiTheme="minorHAnsi" w:hAnsiTheme="minorHAnsi"/>
              </w:rPr>
              <w:t>Section III. 14 (Relocation) of the Standard Terms and Conditions is in full extent replaced with the following:</w:t>
            </w:r>
          </w:p>
          <w:p w14:paraId="5E90C13C" w14:textId="17BA5636" w:rsidR="00CC078A" w:rsidRDefault="00CC078A" w:rsidP="0040446A">
            <w:pPr>
              <w:pStyle w:val="ENAgreementL3"/>
              <w:numPr>
                <w:ilvl w:val="0"/>
                <w:numId w:val="0"/>
              </w:numPr>
              <w:ind w:left="1134"/>
              <w:rPr>
                <w:rFonts w:asciiTheme="minorHAnsi" w:hAnsiTheme="minorHAnsi"/>
              </w:rPr>
            </w:pPr>
            <w:r w:rsidRPr="0040446A">
              <w:rPr>
                <w:rFonts w:asciiTheme="minorHAnsi" w:hAnsiTheme="minorHAnsi"/>
              </w:rPr>
              <w:t>“The Lessor reserves the right to relocate the Tenant to other premises of equal or be</w:t>
            </w:r>
            <w:r w:rsidR="005E386C" w:rsidRPr="0040446A">
              <w:rPr>
                <w:rFonts w:asciiTheme="minorHAnsi" w:hAnsiTheme="minorHAnsi"/>
              </w:rPr>
              <w:t xml:space="preserve">tter quality, within the floor the Building. The relocation shall take place upon notice given by the Lessor at least two (2) months before the </w:t>
            </w:r>
            <w:r w:rsidR="005E386C" w:rsidRPr="0040446A">
              <w:rPr>
                <w:rFonts w:asciiTheme="minorHAnsi" w:hAnsiTheme="minorHAnsi"/>
              </w:rPr>
              <w:lastRenderedPageBreak/>
              <w:t>intended day of relocation. The Lessor shall arrange for and bear all reasonable costs resulting from the relocation.</w:t>
            </w:r>
            <w:r w:rsidR="005E386C">
              <w:rPr>
                <w:rFonts w:asciiTheme="minorHAnsi" w:hAnsiTheme="minorHAnsi"/>
              </w:rPr>
              <w:t>”</w:t>
            </w:r>
          </w:p>
          <w:p w14:paraId="38E45CF7" w14:textId="77777777" w:rsidR="00AC5C30" w:rsidRPr="00AC5C30" w:rsidRDefault="00AC5C30" w:rsidP="00AC5C30">
            <w:pPr>
              <w:pStyle w:val="ENAgreementL3"/>
              <w:numPr>
                <w:ilvl w:val="0"/>
                <w:numId w:val="0"/>
              </w:numPr>
              <w:rPr>
                <w:rFonts w:asciiTheme="minorHAnsi" w:hAnsiTheme="minorHAnsi"/>
                <w:lang w:val="sk-SK"/>
              </w:rPr>
            </w:pPr>
          </w:p>
          <w:p w14:paraId="5F328007" w14:textId="46696433" w:rsidR="00CC078A" w:rsidRPr="0040446A" w:rsidRDefault="005E386C" w:rsidP="0040446A">
            <w:pPr>
              <w:pStyle w:val="ENAgreementL3"/>
              <w:rPr>
                <w:rFonts w:asciiTheme="minorHAnsi" w:hAnsiTheme="minorHAnsi"/>
              </w:rPr>
            </w:pPr>
            <w:r w:rsidRPr="0040446A">
              <w:rPr>
                <w:rFonts w:asciiTheme="minorHAnsi" w:hAnsiTheme="minorHAnsi"/>
              </w:rPr>
              <w:t>S</w:t>
            </w:r>
            <w:r w:rsidR="00AC5C30">
              <w:rPr>
                <w:rFonts w:asciiTheme="minorHAnsi" w:hAnsiTheme="minorHAnsi"/>
              </w:rPr>
              <w:t>ection I. 5 (Conference rooms) o</w:t>
            </w:r>
            <w:r w:rsidRPr="0040446A">
              <w:rPr>
                <w:rFonts w:asciiTheme="minorHAnsi" w:hAnsiTheme="minorHAnsi"/>
              </w:rPr>
              <w:t>f the Standard Terms and Conditions is fully canceled.</w:t>
            </w:r>
          </w:p>
        </w:tc>
        <w:tc>
          <w:tcPr>
            <w:tcW w:w="4699" w:type="dxa"/>
          </w:tcPr>
          <w:p w14:paraId="71DDB45F" w14:textId="6D2F7950" w:rsidR="00CB619C" w:rsidRDefault="004F0448">
            <w:pPr>
              <w:pStyle w:val="SKAgreementL2"/>
              <w:rPr>
                <w:rFonts w:asciiTheme="minorHAnsi" w:hAnsiTheme="minorHAnsi"/>
                <w:lang w:val="sk-SK"/>
              </w:rPr>
            </w:pPr>
            <w:r>
              <w:rPr>
                <w:rFonts w:asciiTheme="minorHAnsi" w:hAnsiTheme="minorHAnsi"/>
                <w:lang w:val="sk-SK"/>
              </w:rPr>
              <w:lastRenderedPageBreak/>
              <w:t>B</w:t>
            </w:r>
            <w:r w:rsidR="00677E28" w:rsidRPr="000E761A">
              <w:rPr>
                <w:rFonts w:asciiTheme="minorHAnsi" w:hAnsiTheme="minorHAnsi"/>
                <w:lang w:val="sk-SK"/>
              </w:rPr>
              <w:t xml:space="preserve">oli dohodnuté </w:t>
            </w:r>
            <w:r>
              <w:rPr>
                <w:rFonts w:asciiTheme="minorHAnsi" w:hAnsiTheme="minorHAnsi"/>
                <w:lang w:val="sk-SK"/>
              </w:rPr>
              <w:t>nasledovné</w:t>
            </w:r>
            <w:r w:rsidRPr="000E761A">
              <w:rPr>
                <w:rFonts w:asciiTheme="minorHAnsi" w:hAnsiTheme="minorHAnsi"/>
                <w:lang w:val="sk-SK"/>
              </w:rPr>
              <w:t xml:space="preserve"> </w:t>
            </w:r>
            <w:r w:rsidR="00677E28" w:rsidRPr="000E761A">
              <w:rPr>
                <w:rFonts w:asciiTheme="minorHAnsi" w:hAnsiTheme="minorHAnsi"/>
                <w:lang w:val="sk-SK"/>
              </w:rPr>
              <w:t>odchýlky od Štandardných obchodných podmienok.</w:t>
            </w:r>
          </w:p>
          <w:p w14:paraId="671ACB83" w14:textId="77777777" w:rsidR="00CC078A" w:rsidRDefault="00CC078A" w:rsidP="0040446A">
            <w:pPr>
              <w:pStyle w:val="SKAgreementL3"/>
              <w:tabs>
                <w:tab w:val="clear" w:pos="1134"/>
                <w:tab w:val="num" w:pos="1291"/>
              </w:tabs>
              <w:ind w:hanging="552"/>
              <w:rPr>
                <w:rFonts w:asciiTheme="minorHAnsi" w:hAnsiTheme="minorHAnsi"/>
                <w:lang w:val="sk-SK"/>
              </w:rPr>
            </w:pPr>
            <w:r>
              <w:rPr>
                <w:rFonts w:asciiTheme="minorHAnsi" w:hAnsiTheme="minorHAnsi"/>
                <w:lang w:val="sk-SK"/>
              </w:rPr>
              <w:t>Článok III. 14 (Presťahovanie) Štandardných obchodných podmienok sa v plnom rozsahu nahrádza nasledovným:</w:t>
            </w:r>
          </w:p>
          <w:p w14:paraId="5275401D" w14:textId="1AAFF891" w:rsidR="00CC078A" w:rsidRDefault="00CC078A" w:rsidP="0040446A">
            <w:pPr>
              <w:pStyle w:val="SKAgreementL3"/>
              <w:numPr>
                <w:ilvl w:val="0"/>
                <w:numId w:val="0"/>
              </w:numPr>
              <w:ind w:left="1134"/>
              <w:rPr>
                <w:rFonts w:asciiTheme="minorHAnsi" w:hAnsiTheme="minorHAnsi"/>
                <w:lang w:val="sk-SK"/>
              </w:rPr>
            </w:pPr>
            <w:r>
              <w:rPr>
                <w:rFonts w:asciiTheme="minorHAnsi" w:hAnsiTheme="minorHAnsi"/>
                <w:lang w:val="sk-SK"/>
              </w:rPr>
              <w:t>„Presťahovanie</w:t>
            </w:r>
            <w:r>
              <w:rPr>
                <w:rFonts w:asciiTheme="minorHAnsi" w:hAnsiTheme="minorHAnsi"/>
                <w:lang w:val="sk-SK"/>
              </w:rPr>
              <w:tab/>
              <w:t xml:space="preserve">Prenajímateľ si vyhradzuje právo presťahovať Nájomcu do iných priestorov rovnakej alebo lepšej kvality, v rámci poschodia alebo Budovy. Presťahovanie sa uskutoční na základe písomného oznámenia Prenajímateľa </w:t>
            </w:r>
            <w:r>
              <w:rPr>
                <w:rFonts w:asciiTheme="minorHAnsi" w:hAnsiTheme="minorHAnsi"/>
                <w:lang w:val="sk-SK"/>
              </w:rPr>
              <w:lastRenderedPageBreak/>
              <w:t>doručeného Nájomcovi najneskôr dva (2) mesiace vopred pred zamýšľaným dňom presťahovania. Prenajímateľ zariadi a bude znášať všetky náklady, ktoré vzniknú v dôsledku presťahovania.“</w:t>
            </w:r>
          </w:p>
          <w:p w14:paraId="2F667525" w14:textId="39C3392C" w:rsidR="00CC078A" w:rsidRPr="0040446A" w:rsidRDefault="00CC078A" w:rsidP="0040446A">
            <w:pPr>
              <w:pStyle w:val="SKAgreementL3"/>
              <w:rPr>
                <w:rFonts w:asciiTheme="minorHAnsi" w:hAnsiTheme="minorHAnsi"/>
                <w:lang w:val="sk-SK"/>
              </w:rPr>
            </w:pPr>
            <w:r>
              <w:rPr>
                <w:rFonts w:asciiTheme="minorHAnsi" w:hAnsiTheme="minorHAnsi"/>
                <w:lang w:val="sk-SK"/>
              </w:rPr>
              <w:t>Článok I. 5 (Konferenčné miestnosti) Štandardných obchodných podmienok sa vypúšťa v plnom rozsahu</w:t>
            </w:r>
          </w:p>
        </w:tc>
      </w:tr>
    </w:tbl>
    <w:p w14:paraId="6F990E69" w14:textId="09FE54A8" w:rsidR="006024E4" w:rsidRDefault="006024E4" w:rsidP="00E43A35">
      <w:pPr>
        <w:spacing w:before="0" w:after="200" w:line="276" w:lineRule="auto"/>
        <w:jc w:val="left"/>
        <w:rPr>
          <w:rFonts w:asciiTheme="minorHAnsi" w:hAnsiTheme="minorHAnsi" w:cs="Times New Roman"/>
          <w:sz w:val="20"/>
          <w:szCs w:val="20"/>
        </w:rPr>
      </w:pPr>
    </w:p>
    <w:p w14:paraId="154E9AA3" w14:textId="77777777" w:rsidR="00A04BA4" w:rsidRDefault="00A04BA4" w:rsidP="00E43A35">
      <w:pPr>
        <w:spacing w:before="0" w:after="200" w:line="276" w:lineRule="auto"/>
        <w:jc w:val="left"/>
        <w:rPr>
          <w:rFonts w:asciiTheme="minorHAnsi" w:hAnsiTheme="minorHAnsi" w:cs="Times New Roman"/>
          <w:sz w:val="20"/>
          <w:szCs w:val="20"/>
        </w:rPr>
      </w:pPr>
    </w:p>
    <w:p w14:paraId="11752926" w14:textId="77777777" w:rsidR="00CC078A" w:rsidRDefault="00CC078A" w:rsidP="00E43A35">
      <w:pPr>
        <w:spacing w:before="0" w:after="200" w:line="276" w:lineRule="auto"/>
        <w:jc w:val="left"/>
        <w:rPr>
          <w:rFonts w:asciiTheme="minorHAnsi" w:hAnsiTheme="minorHAnsi" w:cs="Times New Roman"/>
          <w:sz w:val="20"/>
          <w:szCs w:val="20"/>
        </w:rPr>
      </w:pPr>
    </w:p>
    <w:p w14:paraId="389E7E4E" w14:textId="77777777" w:rsidR="00E43A35" w:rsidRPr="00F36588" w:rsidRDefault="00E43A35" w:rsidP="00E43A35">
      <w:pPr>
        <w:spacing w:before="0" w:after="200" w:line="276" w:lineRule="auto"/>
        <w:jc w:val="left"/>
        <w:rPr>
          <w:rFonts w:asciiTheme="minorHAnsi" w:hAnsiTheme="minorHAnsi" w:cs="Times New Roman"/>
          <w:bCs/>
          <w:sz w:val="20"/>
          <w:szCs w:val="20"/>
        </w:rPr>
      </w:pPr>
      <w:r w:rsidRPr="00F36588">
        <w:rPr>
          <w:rFonts w:asciiTheme="minorHAnsi" w:hAnsiTheme="minorHAnsi" w:cs="Times New Roman"/>
          <w:sz w:val="20"/>
          <w:szCs w:val="20"/>
        </w:rPr>
        <w:t xml:space="preserve">Signed in Bratislava / </w:t>
      </w:r>
      <w:r w:rsidRPr="00F36588">
        <w:rPr>
          <w:rFonts w:asciiTheme="minorHAnsi" w:hAnsiTheme="minorHAnsi" w:cs="Times New Roman"/>
          <w:i/>
          <w:sz w:val="20"/>
          <w:szCs w:val="20"/>
        </w:rPr>
        <w:t>Podpísané v Bratislave</w:t>
      </w:r>
      <w:r w:rsidRPr="00F36588">
        <w:rPr>
          <w:rFonts w:asciiTheme="minorHAnsi" w:hAnsiTheme="minorHAnsi" w:cs="Times New Roman"/>
          <w:sz w:val="20"/>
          <w:szCs w:val="20"/>
        </w:rPr>
        <w:t xml:space="preserve"> on / </w:t>
      </w:r>
      <w:r w:rsidRPr="00F36588">
        <w:rPr>
          <w:rFonts w:asciiTheme="minorHAnsi" w:hAnsiTheme="minorHAnsi" w:cs="Times New Roman"/>
          <w:i/>
          <w:sz w:val="20"/>
          <w:szCs w:val="20"/>
        </w:rPr>
        <w:t>dňa</w:t>
      </w:r>
      <w:r w:rsidRPr="00F36588">
        <w:rPr>
          <w:rFonts w:asciiTheme="minorHAnsi" w:hAnsiTheme="minorHAnsi" w:cs="Times New Roman"/>
          <w:sz w:val="20"/>
          <w:szCs w:val="20"/>
        </w:rPr>
        <w:t xml:space="preserve"> </w:t>
      </w:r>
      <w:r>
        <w:rPr>
          <w:rFonts w:asciiTheme="minorHAnsi" w:hAnsiTheme="minorHAnsi" w:cs="Times New Roman"/>
          <w:sz w:val="20"/>
          <w:szCs w:val="20"/>
        </w:rPr>
        <w:t xml:space="preserve"> </w:t>
      </w:r>
      <w:r w:rsidRPr="0008012E">
        <w:rPr>
          <w:rFonts w:asciiTheme="minorHAnsi" w:hAnsiTheme="minorHAnsi" w:cs="Times New Roman"/>
          <w:sz w:val="20"/>
          <w:szCs w:val="20"/>
        </w:rPr>
        <w:t xml:space="preserve">____________ </w:t>
      </w:r>
      <w:r w:rsidRPr="0008012E">
        <w:rPr>
          <w:rFonts w:asciiTheme="minorHAnsi" w:hAnsiTheme="minorHAnsi" w:cs="Times New Roman"/>
          <w:bCs/>
          <w:sz w:val="20"/>
          <w:szCs w:val="20"/>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633"/>
      </w:tblGrid>
      <w:tr w:rsidR="00E43A35" w:rsidRPr="00F36588" w14:paraId="2AB76081" w14:textId="77777777" w:rsidTr="00FF2034">
        <w:tc>
          <w:tcPr>
            <w:tcW w:w="4632" w:type="dxa"/>
            <w:tcBorders>
              <w:top w:val="nil"/>
              <w:left w:val="nil"/>
              <w:bottom w:val="nil"/>
              <w:right w:val="nil"/>
            </w:tcBorders>
          </w:tcPr>
          <w:p w14:paraId="336039C6" w14:textId="77777777" w:rsidR="00E43A35" w:rsidRPr="00F36588" w:rsidRDefault="00E43A35" w:rsidP="00FF2034">
            <w:pPr>
              <w:spacing w:before="960"/>
              <w:jc w:val="left"/>
              <w:rPr>
                <w:rFonts w:asciiTheme="minorHAnsi" w:hAnsiTheme="minorHAnsi" w:cs="Times New Roman"/>
                <w:sz w:val="20"/>
                <w:szCs w:val="20"/>
              </w:rPr>
            </w:pPr>
            <w:r w:rsidRPr="00F36588">
              <w:rPr>
                <w:rFonts w:asciiTheme="minorHAnsi" w:hAnsiTheme="minorHAnsi" w:cs="Times New Roman"/>
                <w:sz w:val="20"/>
                <w:szCs w:val="20"/>
              </w:rPr>
              <w:t>___________________________</w:t>
            </w:r>
          </w:p>
          <w:p w14:paraId="0D9526B1" w14:textId="77777777" w:rsidR="00E43A35" w:rsidRPr="00F36588" w:rsidRDefault="00E43A35" w:rsidP="00FF2034">
            <w:pPr>
              <w:spacing w:before="0"/>
              <w:jc w:val="left"/>
              <w:rPr>
                <w:rFonts w:asciiTheme="minorHAnsi" w:hAnsiTheme="minorHAnsi" w:cs="Times New Roman"/>
                <w:sz w:val="20"/>
                <w:szCs w:val="20"/>
              </w:rPr>
            </w:pPr>
            <w:r w:rsidRPr="00F36588">
              <w:rPr>
                <w:rFonts w:asciiTheme="minorHAnsi" w:hAnsiTheme="minorHAnsi" w:cs="Times New Roman"/>
                <w:sz w:val="20"/>
                <w:szCs w:val="20"/>
              </w:rPr>
              <w:t>On behalf of Lessor/</w:t>
            </w:r>
            <w:r w:rsidRPr="00F36588">
              <w:rPr>
                <w:rFonts w:asciiTheme="minorHAnsi" w:hAnsiTheme="minorHAnsi" w:cs="Times New Roman"/>
                <w:i/>
                <w:sz w:val="20"/>
                <w:szCs w:val="20"/>
              </w:rPr>
              <w:t>Za Prenajímateľa</w:t>
            </w:r>
          </w:p>
          <w:p w14:paraId="2DFA0BE6" w14:textId="654D4642" w:rsidR="00E43A35" w:rsidRPr="00F36588" w:rsidRDefault="00E43A35" w:rsidP="00FF2034">
            <w:pPr>
              <w:spacing w:before="0"/>
              <w:jc w:val="left"/>
              <w:rPr>
                <w:rFonts w:asciiTheme="minorHAnsi" w:hAnsiTheme="minorHAnsi" w:cs="Times New Roman"/>
                <w:sz w:val="20"/>
                <w:szCs w:val="20"/>
              </w:rPr>
            </w:pPr>
            <w:r w:rsidRPr="00F36588">
              <w:rPr>
                <w:rFonts w:asciiTheme="minorHAnsi" w:hAnsiTheme="minorHAnsi" w:cs="Times New Roman"/>
                <w:sz w:val="20"/>
                <w:szCs w:val="20"/>
              </w:rPr>
              <w:t>Name /</w:t>
            </w:r>
            <w:r w:rsidRPr="00F36588">
              <w:rPr>
                <w:rFonts w:asciiTheme="minorHAnsi" w:hAnsiTheme="minorHAnsi" w:cs="Times New Roman"/>
                <w:i/>
                <w:sz w:val="20"/>
                <w:szCs w:val="20"/>
              </w:rPr>
              <w:t>Meno</w:t>
            </w:r>
            <w:r>
              <w:rPr>
                <w:rFonts w:asciiTheme="minorHAnsi" w:hAnsiTheme="minorHAnsi" w:cs="Times New Roman"/>
                <w:sz w:val="20"/>
                <w:szCs w:val="20"/>
              </w:rPr>
              <w:t xml:space="preserve"> : </w:t>
            </w:r>
            <w:r w:rsidR="00810FD1">
              <w:rPr>
                <w:rFonts w:asciiTheme="minorHAnsi" w:hAnsiTheme="minorHAnsi" w:cs="Times New Roman"/>
                <w:sz w:val="20"/>
                <w:szCs w:val="20"/>
              </w:rPr>
              <w:t>......</w:t>
            </w:r>
          </w:p>
          <w:p w14:paraId="6CA747D9" w14:textId="2388FA95" w:rsidR="00E43A35" w:rsidRPr="00F36588" w:rsidRDefault="00E43A35" w:rsidP="00810FD1">
            <w:pPr>
              <w:spacing w:before="0"/>
              <w:jc w:val="left"/>
              <w:rPr>
                <w:rFonts w:asciiTheme="minorHAnsi" w:hAnsiTheme="minorHAnsi" w:cs="Times New Roman"/>
                <w:i/>
                <w:sz w:val="20"/>
                <w:szCs w:val="20"/>
              </w:rPr>
            </w:pPr>
            <w:r w:rsidRPr="00F36588">
              <w:rPr>
                <w:rFonts w:asciiTheme="minorHAnsi" w:hAnsiTheme="minorHAnsi" w:cs="Times New Roman"/>
                <w:sz w:val="20"/>
                <w:szCs w:val="20"/>
              </w:rPr>
              <w:t>Position/</w:t>
            </w:r>
            <w:r w:rsidRPr="00F36588">
              <w:rPr>
                <w:rFonts w:asciiTheme="minorHAnsi" w:hAnsiTheme="minorHAnsi" w:cs="Times New Roman"/>
                <w:i/>
                <w:sz w:val="20"/>
                <w:szCs w:val="20"/>
              </w:rPr>
              <w:t>Funkcia</w:t>
            </w:r>
            <w:r w:rsidRPr="00F36588">
              <w:rPr>
                <w:rFonts w:asciiTheme="minorHAnsi" w:hAnsiTheme="minorHAnsi" w:cs="Times New Roman"/>
                <w:sz w:val="20"/>
                <w:szCs w:val="20"/>
              </w:rPr>
              <w:t xml:space="preserve">: </w:t>
            </w:r>
            <w:r w:rsidR="00810FD1">
              <w:rPr>
                <w:rFonts w:asciiTheme="minorHAnsi" w:hAnsiTheme="minorHAnsi" w:cs="Times New Roman"/>
                <w:sz w:val="20"/>
                <w:szCs w:val="20"/>
              </w:rPr>
              <w:t>........</w:t>
            </w:r>
          </w:p>
        </w:tc>
        <w:tc>
          <w:tcPr>
            <w:tcW w:w="4633" w:type="dxa"/>
            <w:tcBorders>
              <w:top w:val="nil"/>
              <w:left w:val="nil"/>
              <w:bottom w:val="nil"/>
              <w:right w:val="nil"/>
            </w:tcBorders>
          </w:tcPr>
          <w:p w14:paraId="687C531B" w14:textId="77777777" w:rsidR="00E43A35" w:rsidRPr="00F36588" w:rsidRDefault="00E43A35" w:rsidP="00FF2034">
            <w:pPr>
              <w:spacing w:before="960"/>
              <w:jc w:val="left"/>
              <w:rPr>
                <w:rFonts w:asciiTheme="minorHAnsi" w:hAnsiTheme="minorHAnsi" w:cs="Times New Roman"/>
                <w:sz w:val="20"/>
                <w:szCs w:val="20"/>
              </w:rPr>
            </w:pPr>
            <w:r w:rsidRPr="00F36588">
              <w:rPr>
                <w:rFonts w:asciiTheme="minorHAnsi" w:hAnsiTheme="minorHAnsi" w:cs="Times New Roman"/>
                <w:sz w:val="20"/>
                <w:szCs w:val="20"/>
              </w:rPr>
              <w:t>___________________________</w:t>
            </w:r>
          </w:p>
          <w:p w14:paraId="048D15A5" w14:textId="77777777" w:rsidR="00E43A35" w:rsidRPr="00F36588" w:rsidRDefault="00E43A35" w:rsidP="00FF2034">
            <w:pPr>
              <w:spacing w:before="0"/>
              <w:jc w:val="left"/>
              <w:rPr>
                <w:rFonts w:asciiTheme="minorHAnsi" w:hAnsiTheme="minorHAnsi" w:cs="Times New Roman"/>
                <w:sz w:val="20"/>
                <w:szCs w:val="20"/>
              </w:rPr>
            </w:pPr>
            <w:r w:rsidRPr="00F36588">
              <w:rPr>
                <w:rFonts w:asciiTheme="minorHAnsi" w:hAnsiTheme="minorHAnsi" w:cs="Times New Roman"/>
                <w:sz w:val="20"/>
                <w:szCs w:val="20"/>
              </w:rPr>
              <w:t xml:space="preserve">On behalf of </w:t>
            </w:r>
            <w:r>
              <w:rPr>
                <w:rFonts w:asciiTheme="minorHAnsi" w:hAnsiTheme="minorHAnsi" w:cs="Times New Roman"/>
                <w:sz w:val="20"/>
                <w:szCs w:val="20"/>
              </w:rPr>
              <w:t>Tenant</w:t>
            </w:r>
            <w:r w:rsidRPr="00F36588">
              <w:rPr>
                <w:rFonts w:asciiTheme="minorHAnsi" w:hAnsiTheme="minorHAnsi" w:cs="Times New Roman"/>
                <w:sz w:val="20"/>
                <w:szCs w:val="20"/>
              </w:rPr>
              <w:t>/</w:t>
            </w:r>
            <w:r w:rsidRPr="00F36588">
              <w:rPr>
                <w:rFonts w:asciiTheme="minorHAnsi" w:hAnsiTheme="minorHAnsi" w:cs="Times New Roman"/>
                <w:i/>
                <w:sz w:val="20"/>
                <w:szCs w:val="20"/>
              </w:rPr>
              <w:t>Za</w:t>
            </w:r>
            <w:r>
              <w:rPr>
                <w:rFonts w:asciiTheme="minorHAnsi" w:hAnsiTheme="minorHAnsi" w:cs="Times New Roman"/>
                <w:i/>
                <w:sz w:val="20"/>
                <w:szCs w:val="20"/>
              </w:rPr>
              <w:t xml:space="preserve"> Nájomcu</w:t>
            </w:r>
          </w:p>
          <w:p w14:paraId="3383FE75" w14:textId="514DD9FD" w:rsidR="00E43A35" w:rsidRDefault="00E43A35" w:rsidP="00FF2034">
            <w:pPr>
              <w:spacing w:before="0"/>
              <w:jc w:val="left"/>
              <w:rPr>
                <w:rFonts w:asciiTheme="minorHAnsi" w:hAnsiTheme="minorHAnsi"/>
                <w:sz w:val="20"/>
                <w:szCs w:val="20"/>
              </w:rPr>
            </w:pPr>
            <w:r w:rsidRPr="00F36588">
              <w:rPr>
                <w:rFonts w:asciiTheme="minorHAnsi" w:hAnsiTheme="minorHAnsi" w:cs="Times New Roman"/>
                <w:sz w:val="20"/>
                <w:szCs w:val="20"/>
              </w:rPr>
              <w:t>Name/</w:t>
            </w:r>
            <w:r w:rsidRPr="00F36588">
              <w:rPr>
                <w:rFonts w:asciiTheme="minorHAnsi" w:hAnsiTheme="minorHAnsi" w:cs="Times New Roman"/>
                <w:i/>
                <w:sz w:val="20"/>
                <w:szCs w:val="20"/>
              </w:rPr>
              <w:t>Meno</w:t>
            </w:r>
            <w:r w:rsidRPr="00F36588">
              <w:rPr>
                <w:rFonts w:asciiTheme="minorHAnsi" w:hAnsiTheme="minorHAnsi" w:cs="Times New Roman"/>
                <w:sz w:val="20"/>
                <w:szCs w:val="20"/>
              </w:rPr>
              <w:t xml:space="preserve">: </w:t>
            </w:r>
            <w:r w:rsidR="005E386C">
              <w:rPr>
                <w:rFonts w:asciiTheme="minorHAnsi" w:hAnsiTheme="minorHAnsi"/>
                <w:sz w:val="20"/>
                <w:szCs w:val="20"/>
              </w:rPr>
              <w:t>Zdeněk Šíma</w:t>
            </w:r>
          </w:p>
          <w:p w14:paraId="69C5AC16" w14:textId="69F5A5AD" w:rsidR="00E43A35" w:rsidRPr="00F36588" w:rsidRDefault="00E43A35" w:rsidP="00FF2034">
            <w:pPr>
              <w:spacing w:before="0"/>
              <w:jc w:val="left"/>
              <w:rPr>
                <w:rFonts w:asciiTheme="minorHAnsi" w:hAnsiTheme="minorHAnsi" w:cs="Times New Roman"/>
                <w:sz w:val="20"/>
                <w:szCs w:val="20"/>
              </w:rPr>
            </w:pPr>
            <w:r>
              <w:rPr>
                <w:rFonts w:asciiTheme="minorHAnsi" w:hAnsiTheme="minorHAnsi"/>
                <w:sz w:val="20"/>
                <w:szCs w:val="20"/>
              </w:rPr>
              <w:t>Position/</w:t>
            </w:r>
            <w:r w:rsidRPr="00C659E4">
              <w:rPr>
                <w:rFonts w:asciiTheme="minorHAnsi" w:hAnsiTheme="minorHAnsi"/>
                <w:i/>
                <w:sz w:val="20"/>
                <w:szCs w:val="20"/>
              </w:rPr>
              <w:t>Funkcia</w:t>
            </w:r>
            <w:r>
              <w:rPr>
                <w:rFonts w:asciiTheme="minorHAnsi" w:hAnsiTheme="minorHAnsi"/>
                <w:sz w:val="20"/>
                <w:szCs w:val="20"/>
              </w:rPr>
              <w:t xml:space="preserve">: </w:t>
            </w:r>
            <w:r w:rsidR="006024E4" w:rsidRPr="00A04BA4">
              <w:rPr>
                <w:rFonts w:asciiTheme="minorHAnsi" w:hAnsiTheme="minorHAnsi"/>
                <w:sz w:val="20"/>
                <w:szCs w:val="20"/>
              </w:rPr>
              <w:t>Executive/</w:t>
            </w:r>
            <w:r w:rsidR="00931DC5" w:rsidRPr="00A04BA4">
              <w:rPr>
                <w:rFonts w:asciiTheme="minorHAnsi" w:hAnsiTheme="minorHAnsi"/>
                <w:sz w:val="20"/>
                <w:szCs w:val="20"/>
              </w:rPr>
              <w:t xml:space="preserve"> </w:t>
            </w:r>
            <w:r w:rsidR="006024E4" w:rsidRPr="00FA6C57">
              <w:rPr>
                <w:rFonts w:asciiTheme="minorHAnsi" w:hAnsiTheme="minorHAnsi"/>
                <w:sz w:val="20"/>
                <w:szCs w:val="20"/>
              </w:rPr>
              <w:t>konateľ</w:t>
            </w:r>
          </w:p>
          <w:p w14:paraId="5F67C32C" w14:textId="77777777" w:rsidR="00E43A35" w:rsidRPr="009E2454" w:rsidRDefault="00E43A35" w:rsidP="00FF2034">
            <w:pPr>
              <w:spacing w:before="0"/>
              <w:jc w:val="left"/>
              <w:rPr>
                <w:rFonts w:asciiTheme="minorHAnsi" w:hAnsiTheme="minorHAnsi" w:cs="Times New Roman"/>
                <w:i/>
                <w:sz w:val="20"/>
                <w:szCs w:val="20"/>
              </w:rPr>
            </w:pPr>
          </w:p>
        </w:tc>
      </w:tr>
    </w:tbl>
    <w:p w14:paraId="24D37586" w14:textId="6337577B" w:rsidR="00E43A35" w:rsidRPr="00D42AD6" w:rsidRDefault="00E43A35" w:rsidP="00E62EFB">
      <w:pPr>
        <w:tabs>
          <w:tab w:val="left" w:pos="421"/>
        </w:tabs>
        <w:sectPr w:rsidR="00E43A35" w:rsidRPr="00D42AD6">
          <w:footerReference w:type="default" r:id="rId9"/>
          <w:pgSz w:w="12240" w:h="15840"/>
          <w:pgMar w:top="1417" w:right="1417" w:bottom="1417" w:left="1417" w:header="708" w:footer="708" w:gutter="0"/>
          <w:cols w:space="708"/>
          <w:docGrid w:linePitch="360"/>
        </w:sectPr>
      </w:pPr>
    </w:p>
    <w:p w14:paraId="393A5F85" w14:textId="77777777" w:rsidR="00432CAD" w:rsidRDefault="00432CAD" w:rsidP="00E62EFB">
      <w:pPr>
        <w:spacing w:before="0" w:after="200" w:line="276" w:lineRule="auto"/>
        <w:jc w:val="left"/>
        <w:rPr>
          <w:rFonts w:ascii="Calibri" w:eastAsia="Times New Roman" w:hAnsi="Calibri" w:cs="Calibri"/>
          <w:b/>
          <w:bCs/>
          <w:i/>
          <w:caps/>
          <w:color w:val="3366FF"/>
          <w:sz w:val="16"/>
          <w:szCs w:val="16"/>
          <w:lang w:val="en-US"/>
        </w:rPr>
      </w:pPr>
      <w:r w:rsidRPr="009E2454">
        <w:rPr>
          <w:rFonts w:ascii="Calibri" w:eastAsia="Times New Roman" w:hAnsi="Calibri" w:cs="Calibri"/>
          <w:b/>
          <w:bCs/>
          <w:caps/>
          <w:sz w:val="16"/>
          <w:szCs w:val="16"/>
          <w:lang w:val="en-US"/>
        </w:rPr>
        <w:lastRenderedPageBreak/>
        <w:t>ANNEX NO. 1</w:t>
      </w:r>
      <w:r w:rsidRPr="009E2454">
        <w:rPr>
          <w:rFonts w:ascii="Calibri" w:eastAsia="Times New Roman" w:hAnsi="Calibri" w:cs="Calibri"/>
          <w:b/>
          <w:bCs/>
          <w:caps/>
          <w:sz w:val="16"/>
          <w:szCs w:val="16"/>
          <w:lang w:val="en-US"/>
        </w:rPr>
        <w:br/>
      </w:r>
      <w:r w:rsidRPr="009E2454">
        <w:rPr>
          <w:rFonts w:ascii="Calibri" w:eastAsia="Times New Roman" w:hAnsi="Calibri" w:cs="Calibri"/>
          <w:b/>
          <w:bCs/>
          <w:i/>
          <w:caps/>
          <w:color w:val="3366FF"/>
          <w:sz w:val="16"/>
          <w:szCs w:val="16"/>
          <w:lang w:val="en-US"/>
        </w:rPr>
        <w:t>Príloha č. 1</w:t>
      </w:r>
    </w:p>
    <w:tbl>
      <w:tblPr>
        <w:tblW w:w="9298" w:type="dxa"/>
        <w:tblLayout w:type="fixed"/>
        <w:tblLook w:val="01E0" w:firstRow="1" w:lastRow="1" w:firstColumn="1" w:lastColumn="1" w:noHBand="0" w:noVBand="0"/>
      </w:tblPr>
      <w:tblGrid>
        <w:gridCol w:w="4649"/>
        <w:gridCol w:w="4649"/>
      </w:tblGrid>
      <w:tr w:rsidR="00432CAD" w:rsidRPr="009E2454" w14:paraId="71922FB4" w14:textId="77777777" w:rsidTr="002F2988">
        <w:tc>
          <w:tcPr>
            <w:tcW w:w="4649" w:type="dxa"/>
          </w:tcPr>
          <w:p w14:paraId="0F6F4EFB" w14:textId="2C37392B" w:rsidR="00432CAD" w:rsidRPr="009E2454" w:rsidRDefault="00432CAD" w:rsidP="00084D51">
            <w:pPr>
              <w:spacing w:before="120"/>
              <w:jc w:val="center"/>
              <w:rPr>
                <w:rFonts w:ascii="Calibri" w:eastAsia="Times New Roman" w:hAnsi="Calibri" w:cs="Calibri"/>
                <w:b/>
                <w:bCs/>
                <w:caps/>
                <w:sz w:val="16"/>
                <w:szCs w:val="16"/>
                <w:lang w:val="en-US"/>
              </w:rPr>
            </w:pPr>
            <w:r w:rsidRPr="009E2454">
              <w:rPr>
                <w:rFonts w:ascii="Calibri" w:eastAsia="Times New Roman" w:hAnsi="Calibri" w:cs="Calibri"/>
                <w:b/>
                <w:bCs/>
                <w:caps/>
                <w:sz w:val="16"/>
                <w:szCs w:val="16"/>
                <w:lang w:val="en-US"/>
              </w:rPr>
              <w:t>STANDARD TERMS AND CONDITIONS</w:t>
            </w:r>
            <w:r w:rsidRPr="009E2454">
              <w:rPr>
                <w:rFonts w:ascii="Calibri" w:eastAsia="Times New Roman" w:hAnsi="Calibri" w:cs="Calibri"/>
                <w:b/>
                <w:caps/>
                <w:sz w:val="16"/>
                <w:szCs w:val="16"/>
                <w:lang w:val="en-US"/>
              </w:rPr>
              <w:t xml:space="preserve"> of </w:t>
            </w:r>
            <w:r w:rsidR="00084D51">
              <w:rPr>
                <w:rFonts w:ascii="Calibri" w:eastAsia="Times New Roman" w:hAnsi="Calibri" w:cs="Calibri"/>
                <w:b/>
                <w:caps/>
                <w:sz w:val="16"/>
                <w:szCs w:val="16"/>
                <w:lang w:val="en-US"/>
              </w:rPr>
              <w:t>……..</w:t>
            </w:r>
            <w:r w:rsidRPr="009E2454">
              <w:rPr>
                <w:rFonts w:ascii="Calibri" w:eastAsia="Times New Roman" w:hAnsi="Calibri" w:cs="Calibri"/>
                <w:b/>
                <w:bCs/>
                <w:caps/>
                <w:sz w:val="16"/>
                <w:szCs w:val="16"/>
                <w:lang w:val="en-US"/>
              </w:rPr>
              <w:t xml:space="preserve"> </w:t>
            </w:r>
            <w:r w:rsidRPr="009E2454">
              <w:rPr>
                <w:rFonts w:ascii="Calibri" w:eastAsia="Times New Roman" w:hAnsi="Calibri" w:cs="Calibri"/>
                <w:b/>
                <w:caps/>
                <w:sz w:val="16"/>
                <w:szCs w:val="16"/>
                <w:lang w:val="en-US"/>
              </w:rPr>
              <w:t xml:space="preserve">for LEASE OF NON-RESIDENTIAL PREMISES IN The </w:t>
            </w:r>
            <w:r w:rsidR="00084D51">
              <w:rPr>
                <w:rFonts w:ascii="Calibri" w:eastAsia="Times New Roman" w:hAnsi="Calibri" w:cs="Calibri"/>
                <w:b/>
                <w:caps/>
                <w:sz w:val="16"/>
                <w:szCs w:val="16"/>
                <w:lang w:val="en-US"/>
              </w:rPr>
              <w:t>……….</w:t>
            </w:r>
          </w:p>
        </w:tc>
        <w:tc>
          <w:tcPr>
            <w:tcW w:w="4649" w:type="dxa"/>
          </w:tcPr>
          <w:p w14:paraId="3C35A89C" w14:textId="2CCD80EE" w:rsidR="00432CAD" w:rsidRPr="009E2454" w:rsidRDefault="00432CAD" w:rsidP="00084D51">
            <w:pPr>
              <w:spacing w:before="120"/>
              <w:jc w:val="center"/>
              <w:rPr>
                <w:rFonts w:ascii="Calibri" w:eastAsia="Times New Roman" w:hAnsi="Calibri" w:cs="Calibri"/>
                <w:b/>
                <w:bCs/>
                <w:caps/>
                <w:sz w:val="16"/>
                <w:szCs w:val="16"/>
              </w:rPr>
            </w:pPr>
            <w:r w:rsidRPr="009E2454">
              <w:rPr>
                <w:rFonts w:ascii="Calibri" w:eastAsia="Times New Roman" w:hAnsi="Calibri" w:cs="Calibri"/>
                <w:b/>
                <w:bCs/>
                <w:caps/>
                <w:sz w:val="16"/>
                <w:szCs w:val="16"/>
              </w:rPr>
              <w:t xml:space="preserve">Štandardné Obchodné podmienky spoločnosti </w:t>
            </w:r>
            <w:r w:rsidR="00084D51">
              <w:rPr>
                <w:rFonts w:ascii="Calibri" w:eastAsia="Times New Roman" w:hAnsi="Calibri" w:cs="Calibri"/>
                <w:b/>
                <w:bCs/>
                <w:caps/>
                <w:sz w:val="16"/>
                <w:szCs w:val="16"/>
              </w:rPr>
              <w:t>.......</w:t>
            </w:r>
            <w:r w:rsidRPr="009E2454">
              <w:rPr>
                <w:rFonts w:ascii="Calibri" w:eastAsia="Times New Roman" w:hAnsi="Calibri" w:cs="Calibri"/>
                <w:b/>
                <w:bCs/>
                <w:caps/>
                <w:sz w:val="16"/>
                <w:szCs w:val="16"/>
              </w:rPr>
              <w:t xml:space="preserve"> na PREnáJOM nebytových priestorov v  </w:t>
            </w:r>
            <w:r w:rsidR="00084D51">
              <w:rPr>
                <w:rFonts w:ascii="Calibri" w:eastAsia="Times New Roman" w:hAnsi="Calibri" w:cs="Calibri"/>
                <w:b/>
                <w:bCs/>
                <w:caps/>
                <w:sz w:val="16"/>
                <w:szCs w:val="16"/>
              </w:rPr>
              <w:t>.......</w:t>
            </w:r>
          </w:p>
        </w:tc>
      </w:tr>
      <w:tr w:rsidR="00432CAD" w:rsidRPr="009E2454" w14:paraId="0C281D23" w14:textId="77777777" w:rsidTr="002F2988">
        <w:tc>
          <w:tcPr>
            <w:tcW w:w="4649" w:type="dxa"/>
          </w:tcPr>
          <w:p w14:paraId="103CEDBA" w14:textId="5C33FB71" w:rsidR="00432CAD" w:rsidRPr="009E2454" w:rsidRDefault="00432CAD" w:rsidP="00084D51">
            <w:pPr>
              <w:spacing w:before="120"/>
              <w:jc w:val="center"/>
              <w:rPr>
                <w:rFonts w:ascii="Calibri" w:eastAsia="Times New Roman" w:hAnsi="Calibri" w:cs="Calibri"/>
                <w:b/>
                <w:caps/>
                <w:sz w:val="16"/>
                <w:szCs w:val="16"/>
                <w:lang w:val="en-US"/>
              </w:rPr>
            </w:pPr>
            <w:r w:rsidRPr="009E2454">
              <w:rPr>
                <w:rFonts w:ascii="Calibri" w:eastAsia="Times New Roman" w:hAnsi="Calibri" w:cs="Calibri"/>
                <w:b/>
                <w:caps/>
                <w:sz w:val="16"/>
                <w:szCs w:val="16"/>
                <w:lang w:val="en-US"/>
              </w:rPr>
              <w:t xml:space="preserve">Version </w:t>
            </w:r>
            <w:r w:rsidRPr="009E2454">
              <w:rPr>
                <w:rFonts w:ascii="Calibri" w:eastAsia="Times New Roman" w:hAnsi="Calibri" w:cs="Calibri"/>
                <w:b/>
                <w:bCs/>
                <w:caps/>
                <w:sz w:val="16"/>
                <w:szCs w:val="16"/>
                <w:lang w:val="en-GB"/>
              </w:rPr>
              <w:t xml:space="preserve">, </w:t>
            </w:r>
            <w:r w:rsidRPr="009E2454">
              <w:rPr>
                <w:rFonts w:ascii="Calibri" w:eastAsia="Times New Roman" w:hAnsi="Calibri" w:cs="Calibri"/>
                <w:b/>
                <w:caps/>
                <w:sz w:val="16"/>
                <w:szCs w:val="16"/>
                <w:lang w:val="en-GB"/>
              </w:rPr>
              <w:t>dated</w:t>
            </w:r>
            <w:r>
              <w:rPr>
                <w:rFonts w:ascii="Calibri" w:eastAsia="Times New Roman" w:hAnsi="Calibri" w:cs="Calibri"/>
                <w:b/>
                <w:caps/>
                <w:sz w:val="16"/>
                <w:szCs w:val="16"/>
                <w:lang w:val="en-GB"/>
              </w:rPr>
              <w:t xml:space="preserve"> </w:t>
            </w:r>
          </w:p>
        </w:tc>
        <w:tc>
          <w:tcPr>
            <w:tcW w:w="4649" w:type="dxa"/>
          </w:tcPr>
          <w:p w14:paraId="0C78AA40" w14:textId="3BE1B044" w:rsidR="00432CAD" w:rsidRPr="009E2454" w:rsidRDefault="00432CAD" w:rsidP="00084D51">
            <w:pPr>
              <w:spacing w:before="120"/>
              <w:jc w:val="center"/>
              <w:rPr>
                <w:rFonts w:ascii="Calibri" w:eastAsia="Times New Roman" w:hAnsi="Calibri" w:cs="Calibri"/>
                <w:b/>
                <w:caps/>
                <w:sz w:val="16"/>
                <w:szCs w:val="16"/>
              </w:rPr>
            </w:pPr>
            <w:r w:rsidRPr="009E2454">
              <w:rPr>
                <w:rFonts w:ascii="Calibri" w:eastAsia="Times New Roman" w:hAnsi="Calibri" w:cs="Calibri"/>
                <w:b/>
                <w:caps/>
                <w:sz w:val="16"/>
                <w:szCs w:val="16"/>
              </w:rPr>
              <w:t xml:space="preserve">verzia, zo dňa </w:t>
            </w:r>
          </w:p>
        </w:tc>
      </w:tr>
      <w:tr w:rsidR="00432CAD" w:rsidRPr="009E2454" w14:paraId="647D67A3" w14:textId="77777777" w:rsidTr="002F2988">
        <w:tc>
          <w:tcPr>
            <w:tcW w:w="4649" w:type="dxa"/>
          </w:tcPr>
          <w:p w14:paraId="79F290EB" w14:textId="77777777" w:rsidR="00432CAD" w:rsidRPr="009E2454" w:rsidRDefault="00432CAD" w:rsidP="002F2988">
            <w:pPr>
              <w:spacing w:before="120"/>
              <w:jc w:val="center"/>
              <w:rPr>
                <w:rFonts w:ascii="Calibri" w:eastAsia="Times New Roman" w:hAnsi="Calibri" w:cs="Calibri"/>
                <w:b/>
                <w:caps/>
                <w:sz w:val="16"/>
                <w:szCs w:val="16"/>
                <w:lang w:val="en-US"/>
              </w:rPr>
            </w:pPr>
            <w:r w:rsidRPr="009E2454">
              <w:rPr>
                <w:rFonts w:ascii="Calibri" w:eastAsia="Times New Roman" w:hAnsi="Calibri" w:cs="Calibri"/>
                <w:b/>
                <w:caps/>
                <w:sz w:val="16"/>
                <w:szCs w:val="16"/>
                <w:lang w:val="en-US"/>
              </w:rPr>
              <w:t>(“</w:t>
            </w:r>
            <w:r w:rsidRPr="009E2454">
              <w:rPr>
                <w:rFonts w:ascii="Calibri" w:eastAsia="Times New Roman" w:hAnsi="Calibri" w:cs="Calibri"/>
                <w:b/>
                <w:sz w:val="16"/>
                <w:szCs w:val="16"/>
                <w:u w:val="single"/>
                <w:lang w:val="en-US"/>
              </w:rPr>
              <w:t>Standard Terms and Conditions</w:t>
            </w:r>
            <w:r w:rsidRPr="009E2454">
              <w:rPr>
                <w:rFonts w:ascii="Calibri" w:eastAsia="Times New Roman" w:hAnsi="Calibri" w:cs="Calibri"/>
                <w:b/>
                <w:caps/>
                <w:sz w:val="16"/>
                <w:szCs w:val="16"/>
                <w:lang w:val="en-US"/>
              </w:rPr>
              <w:t>”)</w:t>
            </w:r>
          </w:p>
        </w:tc>
        <w:tc>
          <w:tcPr>
            <w:tcW w:w="4649" w:type="dxa"/>
          </w:tcPr>
          <w:p w14:paraId="69AE72F7" w14:textId="77777777" w:rsidR="00432CAD" w:rsidRPr="009E2454" w:rsidRDefault="00432CAD" w:rsidP="002F2988">
            <w:pPr>
              <w:spacing w:before="120"/>
              <w:jc w:val="center"/>
              <w:rPr>
                <w:rFonts w:ascii="Calibri" w:eastAsia="Times New Roman" w:hAnsi="Calibri" w:cs="Calibri"/>
                <w:b/>
                <w:caps/>
                <w:sz w:val="16"/>
                <w:szCs w:val="16"/>
              </w:rPr>
            </w:pPr>
            <w:r w:rsidRPr="009E2454">
              <w:rPr>
                <w:rFonts w:ascii="Calibri" w:eastAsia="Times New Roman" w:hAnsi="Calibri" w:cs="Calibri"/>
                <w:b/>
                <w:sz w:val="16"/>
                <w:szCs w:val="16"/>
              </w:rPr>
              <w:t>(„</w:t>
            </w:r>
            <w:r w:rsidRPr="009E2454">
              <w:rPr>
                <w:rFonts w:ascii="Calibri" w:eastAsia="Times New Roman" w:hAnsi="Calibri" w:cs="Calibri"/>
                <w:b/>
                <w:sz w:val="16"/>
                <w:szCs w:val="16"/>
                <w:u w:val="single"/>
              </w:rPr>
              <w:t>Štandardné</w:t>
            </w:r>
            <w:r>
              <w:rPr>
                <w:rFonts w:ascii="Calibri" w:eastAsia="Times New Roman" w:hAnsi="Calibri" w:cs="Calibri"/>
                <w:b/>
                <w:sz w:val="16"/>
                <w:szCs w:val="16"/>
                <w:u w:val="single"/>
              </w:rPr>
              <w:t xml:space="preserve"> obchodné</w:t>
            </w:r>
            <w:r w:rsidRPr="009E2454">
              <w:rPr>
                <w:rFonts w:ascii="Calibri" w:eastAsia="Times New Roman" w:hAnsi="Calibri" w:cs="Calibri"/>
                <w:b/>
                <w:sz w:val="16"/>
                <w:szCs w:val="16"/>
                <w:u w:val="single"/>
              </w:rPr>
              <w:t xml:space="preserve"> podmienky</w:t>
            </w:r>
            <w:r w:rsidRPr="009E2454">
              <w:rPr>
                <w:rFonts w:ascii="Calibri" w:eastAsia="Times New Roman" w:hAnsi="Calibri" w:cs="Calibri"/>
                <w:b/>
                <w:sz w:val="16"/>
                <w:szCs w:val="16"/>
              </w:rPr>
              <w:t>“)</w:t>
            </w:r>
          </w:p>
        </w:tc>
      </w:tr>
      <w:tr w:rsidR="00432CAD" w:rsidRPr="009E2454" w14:paraId="0575C83D" w14:textId="77777777" w:rsidTr="002F2988">
        <w:tc>
          <w:tcPr>
            <w:tcW w:w="4649" w:type="dxa"/>
          </w:tcPr>
          <w:p w14:paraId="39FDC65C" w14:textId="77777777" w:rsidR="00432CAD" w:rsidRPr="009E2454" w:rsidRDefault="00432CAD" w:rsidP="002F2988">
            <w:pPr>
              <w:spacing w:before="120"/>
              <w:jc w:val="center"/>
              <w:rPr>
                <w:rFonts w:ascii="Calibri" w:eastAsia="Times New Roman" w:hAnsi="Calibri" w:cs="Calibri"/>
                <w:b/>
                <w:caps/>
                <w:sz w:val="16"/>
                <w:szCs w:val="16"/>
                <w:lang w:val="en-US"/>
              </w:rPr>
            </w:pPr>
            <w:r w:rsidRPr="009E2454">
              <w:rPr>
                <w:rFonts w:ascii="Calibri" w:eastAsia="Times New Roman" w:hAnsi="Calibri" w:cs="Calibri"/>
                <w:b/>
                <w:caps/>
                <w:sz w:val="16"/>
                <w:szCs w:val="16"/>
                <w:lang w:val="en-US"/>
              </w:rPr>
              <w:t>I. Subject of the Agreement</w:t>
            </w:r>
          </w:p>
        </w:tc>
        <w:tc>
          <w:tcPr>
            <w:tcW w:w="4649" w:type="dxa"/>
          </w:tcPr>
          <w:p w14:paraId="57AF91B6" w14:textId="77777777" w:rsidR="00432CAD" w:rsidRPr="009E2454" w:rsidRDefault="00432CAD" w:rsidP="002F2988">
            <w:pPr>
              <w:spacing w:before="120"/>
              <w:jc w:val="center"/>
              <w:rPr>
                <w:rFonts w:ascii="Calibri" w:eastAsia="Times New Roman" w:hAnsi="Calibri" w:cs="Calibri"/>
                <w:b/>
                <w:caps/>
                <w:sz w:val="16"/>
                <w:szCs w:val="16"/>
              </w:rPr>
            </w:pPr>
            <w:r w:rsidRPr="009E2454">
              <w:rPr>
                <w:rFonts w:ascii="Calibri" w:eastAsia="Times New Roman" w:hAnsi="Calibri" w:cs="Calibri"/>
                <w:b/>
                <w:caps/>
                <w:sz w:val="16"/>
                <w:szCs w:val="16"/>
              </w:rPr>
              <w:t>I. Predmet Nájomnej zmluvy</w:t>
            </w:r>
          </w:p>
        </w:tc>
      </w:tr>
      <w:tr w:rsidR="00432CAD" w:rsidRPr="009E2454" w14:paraId="13C0E79D" w14:textId="77777777" w:rsidTr="002F2988">
        <w:tc>
          <w:tcPr>
            <w:tcW w:w="4649" w:type="dxa"/>
          </w:tcPr>
          <w:p w14:paraId="128F8CD4" w14:textId="24C1A272" w:rsidR="00432CAD" w:rsidRPr="009E2454" w:rsidRDefault="00432CAD" w:rsidP="00084D51">
            <w:pPr>
              <w:numPr>
                <w:ilvl w:val="0"/>
                <w:numId w:val="4"/>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Premises.</w:t>
            </w:r>
            <w:r w:rsidRPr="009E2454">
              <w:rPr>
                <w:rFonts w:ascii="Calibri" w:eastAsia="Times New Roman" w:hAnsi="Calibri" w:cs="Calibri"/>
                <w:sz w:val="16"/>
                <w:szCs w:val="16"/>
                <w:lang w:val="en-US"/>
              </w:rPr>
              <w:t xml:space="preserve"> The subject of the Agreement is the lease of the Premises in the Lessor’s </w:t>
            </w:r>
            <w:r w:rsidRPr="009E2454">
              <w:rPr>
                <w:rFonts w:ascii="Calibri" w:eastAsia="Times New Roman" w:hAnsi="Calibri" w:cs="Calibri"/>
                <w:snapToGrid w:val="0"/>
                <w:sz w:val="16"/>
                <w:szCs w:val="16"/>
                <w:lang w:val="en-US"/>
              </w:rPr>
              <w:t>real estate (building) known as “</w:t>
            </w:r>
            <w:r w:rsidR="00084D51">
              <w:rPr>
                <w:rFonts w:ascii="Calibri" w:eastAsia="Times New Roman" w:hAnsi="Calibri" w:cs="Calibri"/>
                <w:snapToGrid w:val="0"/>
                <w:sz w:val="16"/>
                <w:szCs w:val="16"/>
                <w:lang w:val="en-US"/>
              </w:rPr>
              <w:t>…….</w:t>
            </w:r>
            <w:r w:rsidRPr="009E2454">
              <w:rPr>
                <w:rFonts w:ascii="Calibri" w:eastAsia="Times New Roman" w:hAnsi="Calibri" w:cs="Calibri"/>
                <w:snapToGrid w:val="0"/>
                <w:sz w:val="16"/>
                <w:szCs w:val="16"/>
                <w:lang w:val="en-US"/>
              </w:rPr>
              <w:t xml:space="preserve"> in Bratislava </w:t>
            </w:r>
            <w:r w:rsidR="00084D51">
              <w:rPr>
                <w:rFonts w:ascii="Calibri" w:eastAsia="Times New Roman" w:hAnsi="Calibri" w:cs="Calibri"/>
                <w:snapToGrid w:val="0"/>
                <w:sz w:val="16"/>
                <w:szCs w:val="16"/>
                <w:lang w:val="en-US"/>
              </w:rPr>
              <w:t>…..</w:t>
            </w:r>
            <w:r w:rsidRPr="009E2454">
              <w:rPr>
                <w:rFonts w:ascii="Calibri" w:eastAsia="Times New Roman" w:hAnsi="Calibri" w:cs="Calibri"/>
                <w:snapToGrid w:val="0"/>
                <w:sz w:val="16"/>
                <w:szCs w:val="16"/>
                <w:lang w:val="en-US"/>
              </w:rPr>
              <w:t xml:space="preserve">, and situated over the land plots </w:t>
            </w:r>
            <w:r w:rsidR="00084D51">
              <w:rPr>
                <w:rFonts w:ascii="Calibri" w:eastAsia="Times New Roman" w:hAnsi="Calibri" w:cs="Calibri"/>
                <w:snapToGrid w:val="0"/>
                <w:sz w:val="16"/>
                <w:szCs w:val="16"/>
                <w:lang w:val="en-US"/>
              </w:rPr>
              <w:t>……</w:t>
            </w:r>
            <w:r w:rsidRPr="009E2454">
              <w:rPr>
                <w:rFonts w:ascii="Calibri" w:eastAsia="Times New Roman" w:hAnsi="Calibri" w:cs="Calibri"/>
                <w:snapToGrid w:val="0"/>
                <w:sz w:val="16"/>
                <w:szCs w:val="16"/>
                <w:lang w:val="en-US"/>
              </w:rPr>
              <w:t xml:space="preserve"> cadastral territory Bratislava </w:t>
            </w:r>
            <w:r w:rsidR="00084D51">
              <w:rPr>
                <w:rFonts w:ascii="Calibri" w:eastAsia="Times New Roman" w:hAnsi="Calibri" w:cs="Calibri"/>
                <w:snapToGrid w:val="0"/>
                <w:sz w:val="16"/>
                <w:szCs w:val="16"/>
                <w:lang w:val="en-US"/>
              </w:rPr>
              <w:t>….</w:t>
            </w:r>
            <w:r w:rsidRPr="009E2454">
              <w:rPr>
                <w:rFonts w:ascii="Calibri" w:eastAsia="Times New Roman" w:hAnsi="Calibri" w:cs="Calibri"/>
                <w:snapToGrid w:val="0"/>
                <w:sz w:val="16"/>
                <w:szCs w:val="16"/>
                <w:lang w:val="en-US"/>
              </w:rPr>
              <w:t xml:space="preserve">, registered in the list of ownership No. </w:t>
            </w:r>
            <w:r w:rsidR="00084D51">
              <w:rPr>
                <w:rFonts w:ascii="Calibri" w:eastAsia="Times New Roman" w:hAnsi="Calibri" w:cs="Calibri"/>
                <w:snapToGrid w:val="0"/>
                <w:sz w:val="16"/>
                <w:szCs w:val="16"/>
                <w:lang w:val="en-US"/>
              </w:rPr>
              <w:t>…..</w:t>
            </w:r>
            <w:r w:rsidRPr="009E2454">
              <w:rPr>
                <w:rFonts w:ascii="Calibri" w:eastAsia="Times New Roman" w:hAnsi="Calibri" w:cs="Calibri"/>
                <w:snapToGrid w:val="0"/>
                <w:sz w:val="16"/>
                <w:szCs w:val="16"/>
                <w:lang w:val="en-US"/>
              </w:rPr>
              <w:t xml:space="preserve"> maintained by the </w:t>
            </w:r>
            <w:r>
              <w:rPr>
                <w:rFonts w:ascii="Calibri" w:eastAsia="Times New Roman" w:hAnsi="Calibri" w:cs="Calibri"/>
                <w:snapToGrid w:val="0"/>
                <w:sz w:val="16"/>
                <w:szCs w:val="16"/>
                <w:lang w:val="en-US"/>
              </w:rPr>
              <w:t>cadastral department of District Office</w:t>
            </w:r>
            <w:r w:rsidRPr="009E2454">
              <w:rPr>
                <w:rFonts w:ascii="Calibri" w:eastAsia="Times New Roman" w:hAnsi="Calibri" w:cs="Calibri"/>
                <w:snapToGrid w:val="0"/>
                <w:sz w:val="16"/>
                <w:szCs w:val="16"/>
                <w:lang w:val="en-US"/>
              </w:rPr>
              <w:t xml:space="preserve"> Bratislava (“</w:t>
            </w:r>
            <w:r w:rsidRPr="009E2454">
              <w:rPr>
                <w:rFonts w:ascii="Calibri" w:eastAsia="Times New Roman" w:hAnsi="Calibri" w:cs="Calibri"/>
                <w:b/>
                <w:snapToGrid w:val="0"/>
                <w:sz w:val="16"/>
                <w:szCs w:val="16"/>
                <w:u w:val="single"/>
                <w:lang w:val="en-US"/>
              </w:rPr>
              <w:t>Building</w:t>
            </w:r>
            <w:r w:rsidRPr="009E2454">
              <w:rPr>
                <w:rFonts w:ascii="Calibri" w:eastAsia="Times New Roman" w:hAnsi="Calibri" w:cs="Calibri"/>
                <w:snapToGrid w:val="0"/>
                <w:sz w:val="16"/>
                <w:szCs w:val="16"/>
                <w:lang w:val="en-US"/>
              </w:rPr>
              <w:t>”). The Building and the land lots on which it is located are hereinafter collectively referred to as (“</w:t>
            </w:r>
            <w:r w:rsidRPr="009E2454">
              <w:rPr>
                <w:rFonts w:ascii="Calibri" w:eastAsia="Times New Roman" w:hAnsi="Calibri" w:cs="Calibri"/>
                <w:b/>
                <w:snapToGrid w:val="0"/>
                <w:sz w:val="16"/>
                <w:szCs w:val="16"/>
                <w:u w:val="single"/>
                <w:lang w:val="en-US"/>
              </w:rPr>
              <w:t>Property</w:t>
            </w:r>
            <w:r w:rsidRPr="009E2454">
              <w:rPr>
                <w:rFonts w:ascii="Calibri" w:eastAsia="Times New Roman" w:hAnsi="Calibri" w:cs="Calibri"/>
                <w:snapToGrid w:val="0"/>
                <w:sz w:val="16"/>
                <w:szCs w:val="16"/>
                <w:lang w:val="en-US"/>
              </w:rPr>
              <w:t>”).</w:t>
            </w:r>
            <w:r w:rsidRPr="009E2454">
              <w:rPr>
                <w:rFonts w:ascii="Calibri" w:eastAsia="Times New Roman" w:hAnsi="Calibri" w:cs="Calibri"/>
                <w:sz w:val="16"/>
                <w:szCs w:val="16"/>
                <w:lang w:val="en-US"/>
              </w:rPr>
              <w:tab/>
            </w:r>
          </w:p>
        </w:tc>
        <w:tc>
          <w:tcPr>
            <w:tcW w:w="4649" w:type="dxa"/>
          </w:tcPr>
          <w:p w14:paraId="281A4B21" w14:textId="702290A2" w:rsidR="00432CAD" w:rsidRPr="009E2454" w:rsidRDefault="00432CAD" w:rsidP="00084D51">
            <w:pPr>
              <w:numPr>
                <w:ilvl w:val="0"/>
                <w:numId w:val="9"/>
              </w:numPr>
              <w:tabs>
                <w:tab w:val="clear" w:pos="720"/>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Priestory.</w:t>
            </w:r>
            <w:r w:rsidRPr="009E2454">
              <w:rPr>
                <w:rFonts w:ascii="Calibri" w:eastAsia="Times New Roman" w:hAnsi="Calibri" w:cs="Calibri"/>
                <w:sz w:val="16"/>
                <w:szCs w:val="16"/>
              </w:rPr>
              <w:t xml:space="preserve"> Predmetom Zmluvy je prenájom Priestorov v nehnuteľnosti (budove) Prenajímateľa známej ako </w:t>
            </w:r>
            <w:r w:rsidR="00084D51">
              <w:rPr>
                <w:rFonts w:ascii="Calibri" w:eastAsia="Times New Roman" w:hAnsi="Calibri" w:cs="Calibri"/>
                <w:sz w:val="16"/>
                <w:szCs w:val="16"/>
              </w:rPr>
              <w:t>......</w:t>
            </w:r>
            <w:r w:rsidRPr="009E2454">
              <w:rPr>
                <w:rFonts w:ascii="Calibri" w:eastAsia="Times New Roman" w:hAnsi="Calibri" w:cs="Calibri"/>
                <w:sz w:val="16"/>
                <w:szCs w:val="16"/>
              </w:rPr>
              <w:t xml:space="preserve"> v Bratislave </w:t>
            </w:r>
            <w:r w:rsidR="00084D51">
              <w:rPr>
                <w:rFonts w:ascii="Calibri" w:eastAsia="Times New Roman" w:hAnsi="Calibri" w:cs="Calibri"/>
                <w:sz w:val="16"/>
                <w:szCs w:val="16"/>
              </w:rPr>
              <w:t>.....</w:t>
            </w:r>
            <w:r w:rsidRPr="009E2454">
              <w:rPr>
                <w:rFonts w:ascii="Calibri" w:eastAsia="Times New Roman" w:hAnsi="Calibri" w:cs="Calibri"/>
                <w:sz w:val="16"/>
                <w:szCs w:val="16"/>
              </w:rPr>
              <w:t xml:space="preserve"> umiestnenej na parcelách č. </w:t>
            </w:r>
            <w:r w:rsidR="00084D51">
              <w:rPr>
                <w:rFonts w:ascii="Calibri" w:eastAsia="Times New Roman" w:hAnsi="Calibri" w:cs="Calibri"/>
                <w:sz w:val="16"/>
                <w:szCs w:val="16"/>
              </w:rPr>
              <w:t>......</w:t>
            </w:r>
            <w:r w:rsidRPr="009E2454">
              <w:rPr>
                <w:rFonts w:ascii="Calibri" w:eastAsia="Times New Roman" w:hAnsi="Calibri" w:cs="Calibri"/>
                <w:sz w:val="16"/>
                <w:szCs w:val="16"/>
              </w:rPr>
              <w:t xml:space="preserve"> v k.ú. Bratislava </w:t>
            </w:r>
            <w:r w:rsidR="00084D51">
              <w:rPr>
                <w:rFonts w:ascii="Calibri" w:eastAsia="Times New Roman" w:hAnsi="Calibri" w:cs="Calibri"/>
                <w:sz w:val="16"/>
                <w:szCs w:val="16"/>
              </w:rPr>
              <w:t>.....</w:t>
            </w:r>
            <w:r w:rsidRPr="009E2454">
              <w:rPr>
                <w:rFonts w:ascii="Calibri" w:eastAsia="Times New Roman" w:hAnsi="Calibri" w:cs="Calibri"/>
                <w:sz w:val="16"/>
                <w:szCs w:val="16"/>
              </w:rPr>
              <w:t xml:space="preserve">, zapísanej na liste vlastníctva č. </w:t>
            </w:r>
            <w:r w:rsidR="00084D51">
              <w:rPr>
                <w:rFonts w:ascii="Calibri" w:eastAsia="Times New Roman" w:hAnsi="Calibri" w:cs="Calibri"/>
                <w:sz w:val="16"/>
                <w:szCs w:val="16"/>
              </w:rPr>
              <w:t>....</w:t>
            </w:r>
            <w:r w:rsidRPr="009E2454">
              <w:rPr>
                <w:rFonts w:ascii="Calibri" w:eastAsia="Times New Roman" w:hAnsi="Calibri" w:cs="Calibri"/>
                <w:sz w:val="16"/>
                <w:szCs w:val="16"/>
              </w:rPr>
              <w:t xml:space="preserve"> vedenom </w:t>
            </w:r>
            <w:r>
              <w:rPr>
                <w:rFonts w:ascii="Calibri" w:eastAsia="Times New Roman" w:hAnsi="Calibri" w:cs="Calibri"/>
                <w:sz w:val="16"/>
                <w:szCs w:val="16"/>
              </w:rPr>
              <w:t>katastrálnym odborom Okresného úradu Bratislava</w:t>
            </w:r>
            <w:r w:rsidRPr="009E2454">
              <w:rPr>
                <w:rFonts w:ascii="Calibri" w:eastAsia="Times New Roman" w:hAnsi="Calibri" w:cs="Calibri"/>
                <w:sz w:val="16"/>
                <w:szCs w:val="16"/>
              </w:rPr>
              <w:t xml:space="preserve"> („</w:t>
            </w:r>
            <w:r w:rsidRPr="009E2454">
              <w:rPr>
                <w:rFonts w:ascii="Calibri" w:eastAsia="Times New Roman" w:hAnsi="Calibri" w:cs="Calibri"/>
                <w:b/>
                <w:sz w:val="16"/>
                <w:szCs w:val="16"/>
                <w:u w:val="single"/>
              </w:rPr>
              <w:t>Budova</w:t>
            </w:r>
            <w:r w:rsidRPr="009E2454">
              <w:rPr>
                <w:rFonts w:ascii="Calibri" w:eastAsia="Times New Roman" w:hAnsi="Calibri" w:cs="Calibri"/>
                <w:sz w:val="16"/>
                <w:szCs w:val="16"/>
              </w:rPr>
              <w:t>“). Budova a parcely, na ktorých sa nachádza, sa v ďalšom spoločne nazývajú („</w:t>
            </w:r>
            <w:r w:rsidRPr="009E2454">
              <w:rPr>
                <w:rFonts w:ascii="Calibri" w:eastAsia="Times New Roman" w:hAnsi="Calibri" w:cs="Calibri"/>
                <w:b/>
                <w:sz w:val="16"/>
                <w:szCs w:val="16"/>
                <w:u w:val="single"/>
              </w:rPr>
              <w:t>Nehnuteľnosť</w:t>
            </w:r>
            <w:r w:rsidRPr="009E2454">
              <w:rPr>
                <w:rFonts w:ascii="Calibri" w:eastAsia="Times New Roman" w:hAnsi="Calibri" w:cs="Calibri"/>
                <w:sz w:val="16"/>
                <w:szCs w:val="16"/>
              </w:rPr>
              <w:t>“).</w:t>
            </w:r>
          </w:p>
        </w:tc>
      </w:tr>
      <w:tr w:rsidR="00432CAD" w:rsidRPr="009E2454" w14:paraId="5808D270" w14:textId="77777777" w:rsidTr="002F2988">
        <w:tc>
          <w:tcPr>
            <w:tcW w:w="4649" w:type="dxa"/>
          </w:tcPr>
          <w:p w14:paraId="6A823578" w14:textId="77777777" w:rsidR="00432CAD" w:rsidRPr="009E2454" w:rsidRDefault="00432CAD" w:rsidP="002F2988">
            <w:pPr>
              <w:numPr>
                <w:ilvl w:val="0"/>
                <w:numId w:val="4"/>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Handover.</w:t>
            </w:r>
            <w:r w:rsidRPr="009E2454">
              <w:rPr>
                <w:rFonts w:ascii="Calibri" w:eastAsia="Times New Roman" w:hAnsi="Calibri" w:cs="Calibri"/>
                <w:b/>
                <w:sz w:val="16"/>
                <w:szCs w:val="16"/>
                <w:lang w:val="en-US"/>
              </w:rPr>
              <w:t xml:space="preserve"> </w:t>
            </w:r>
            <w:r w:rsidRPr="009E2454">
              <w:rPr>
                <w:rFonts w:ascii="Calibri" w:eastAsia="Times New Roman" w:hAnsi="Calibri" w:cs="Calibri"/>
                <w:sz w:val="16"/>
                <w:szCs w:val="16"/>
                <w:lang w:val="en-US"/>
              </w:rPr>
              <w:t>The Premises shall be handed over to the Tenant in “as-is, where is” condition. A handover protocol shall be executed by the parties describing the status of the Premises as of the Handover. The Lessor is not obligated to hand over the Premises earlier than the Tenant pays the first Rent and Deposit (all including VAT).</w:t>
            </w:r>
          </w:p>
        </w:tc>
        <w:tc>
          <w:tcPr>
            <w:tcW w:w="4649" w:type="dxa"/>
          </w:tcPr>
          <w:p w14:paraId="204A28B8" w14:textId="77777777" w:rsidR="00432CAD" w:rsidRPr="009E2454" w:rsidRDefault="00432CAD" w:rsidP="002F2988">
            <w:pPr>
              <w:numPr>
                <w:ilvl w:val="0"/>
                <w:numId w:val="9"/>
              </w:numPr>
              <w:tabs>
                <w:tab w:val="clear" w:pos="720"/>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Odovzdanie.</w:t>
            </w:r>
            <w:r w:rsidRPr="009E2454">
              <w:rPr>
                <w:rFonts w:ascii="Calibri" w:eastAsia="Times New Roman" w:hAnsi="Calibri" w:cs="Calibri"/>
                <w:sz w:val="16"/>
                <w:szCs w:val="16"/>
              </w:rPr>
              <w:t xml:space="preserve"> Priestory budú odovzdané Nájomcovi v stave ako „stoja a ležia“. Strany vypracujú odovzdávací protokol  popisujúci stav Priestorov ku dňu Odovzdania. Prenajímateľ nie je povinný odovzdať Priestory skôr ako Nájomca zaplatí prvé Nájomné a Zábezpeku (všetko vrátane DPH).</w:t>
            </w:r>
          </w:p>
        </w:tc>
      </w:tr>
      <w:tr w:rsidR="00432CAD" w:rsidRPr="009E2454" w14:paraId="0A848E5C" w14:textId="77777777" w:rsidTr="002F2988">
        <w:tc>
          <w:tcPr>
            <w:tcW w:w="4649" w:type="dxa"/>
          </w:tcPr>
          <w:p w14:paraId="657E0A59" w14:textId="77777777" w:rsidR="00432CAD" w:rsidRPr="009E2454" w:rsidRDefault="00432CAD" w:rsidP="002F2988">
            <w:pPr>
              <w:numPr>
                <w:ilvl w:val="0"/>
                <w:numId w:val="4"/>
              </w:numPr>
              <w:spacing w:before="120"/>
              <w:rPr>
                <w:rFonts w:ascii="Calibri" w:eastAsia="Times New Roman" w:hAnsi="Calibri" w:cs="Calibri"/>
                <w:b/>
                <w:sz w:val="16"/>
                <w:szCs w:val="16"/>
                <w:u w:val="single"/>
                <w:lang w:val="en-US"/>
              </w:rPr>
            </w:pPr>
            <w:r w:rsidRPr="009E2454">
              <w:rPr>
                <w:rFonts w:ascii="Calibri" w:eastAsia="Times New Roman" w:hAnsi="Calibri" w:cs="Calibri"/>
                <w:b/>
                <w:sz w:val="16"/>
                <w:szCs w:val="16"/>
                <w:u w:val="single"/>
                <w:lang w:val="en-US"/>
              </w:rPr>
              <w:t>Purpose and Use of the Lease Subject</w:t>
            </w:r>
            <w:r w:rsidRPr="009E2454">
              <w:rPr>
                <w:rFonts w:ascii="Calibri" w:eastAsia="Times New Roman" w:hAnsi="Calibri" w:cs="Calibri"/>
                <w:sz w:val="16"/>
                <w:szCs w:val="16"/>
                <w:lang w:val="en-US"/>
              </w:rPr>
              <w:t>. The Tenant leases the Premises for the purposes defined in the Agreement.</w:t>
            </w:r>
          </w:p>
        </w:tc>
        <w:tc>
          <w:tcPr>
            <w:tcW w:w="4649" w:type="dxa"/>
          </w:tcPr>
          <w:p w14:paraId="2F5FD53F" w14:textId="77777777" w:rsidR="00432CAD" w:rsidRPr="009E2454" w:rsidRDefault="00432CAD" w:rsidP="002F2988">
            <w:pPr>
              <w:numPr>
                <w:ilvl w:val="0"/>
                <w:numId w:val="9"/>
              </w:numPr>
              <w:tabs>
                <w:tab w:val="clear" w:pos="720"/>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Účel a užívanie Predmetu nájmu.</w:t>
            </w:r>
            <w:r w:rsidRPr="009E2454">
              <w:rPr>
                <w:rFonts w:ascii="Calibri" w:eastAsia="Times New Roman" w:hAnsi="Calibri" w:cs="Calibri"/>
                <w:sz w:val="16"/>
                <w:szCs w:val="16"/>
              </w:rPr>
              <w:t xml:space="preserve"> Nájomca si prenajíma Priestory</w:t>
            </w:r>
            <w:r w:rsidRPr="009E2454">
              <w:rPr>
                <w:rFonts w:ascii="Calibri" w:eastAsia="Times New Roman" w:hAnsi="Calibri" w:cs="Calibri"/>
                <w:color w:val="000000"/>
                <w:sz w:val="16"/>
                <w:szCs w:val="16"/>
              </w:rPr>
              <w:t xml:space="preserve"> </w:t>
            </w:r>
            <w:r w:rsidRPr="009E2454">
              <w:rPr>
                <w:rFonts w:ascii="Calibri" w:eastAsia="Times New Roman" w:hAnsi="Calibri" w:cs="Calibri"/>
                <w:sz w:val="16"/>
                <w:szCs w:val="16"/>
              </w:rPr>
              <w:t>pre účely uvedené v Zmluve.</w:t>
            </w:r>
          </w:p>
        </w:tc>
      </w:tr>
      <w:tr w:rsidR="00432CAD" w:rsidRPr="009E2454" w14:paraId="666116BF" w14:textId="77777777" w:rsidTr="002F2988">
        <w:tc>
          <w:tcPr>
            <w:tcW w:w="4649" w:type="dxa"/>
          </w:tcPr>
          <w:p w14:paraId="1A5602F1" w14:textId="77777777" w:rsidR="00432CAD" w:rsidRPr="009E2454" w:rsidRDefault="00432CAD" w:rsidP="002F2988">
            <w:pPr>
              <w:numPr>
                <w:ilvl w:val="0"/>
                <w:numId w:val="4"/>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Areas.</w:t>
            </w:r>
            <w:r w:rsidRPr="009E2454">
              <w:rPr>
                <w:rFonts w:ascii="Calibri" w:eastAsia="Times New Roman" w:hAnsi="Calibri" w:cs="Calibri"/>
                <w:sz w:val="16"/>
                <w:szCs w:val="16"/>
                <w:lang w:val="en-US"/>
              </w:rPr>
              <w:t xml:space="preserve"> The areas of the Premises as well as any other measurements of the Lessor are made in compliance with the BOMA standard </w:t>
            </w:r>
            <w:r w:rsidRPr="009E2454">
              <w:rPr>
                <w:rFonts w:ascii="Calibri" w:eastAsia="Times New Roman" w:hAnsi="Calibri" w:cs="Calibri"/>
                <w:sz w:val="16"/>
                <w:szCs w:val="16"/>
              </w:rPr>
              <w:t>(www.boma.org)</w:t>
            </w:r>
            <w:r w:rsidRPr="009E2454">
              <w:rPr>
                <w:rFonts w:ascii="Calibri" w:eastAsia="Times New Roman" w:hAnsi="Calibri" w:cs="Calibri"/>
                <w:sz w:val="16"/>
                <w:szCs w:val="16"/>
                <w:lang w:val="en-US"/>
              </w:rPr>
              <w:t>.</w:t>
            </w:r>
          </w:p>
        </w:tc>
        <w:tc>
          <w:tcPr>
            <w:tcW w:w="4649" w:type="dxa"/>
          </w:tcPr>
          <w:p w14:paraId="70BB8EC5" w14:textId="77777777" w:rsidR="00432CAD" w:rsidRPr="009E2454" w:rsidRDefault="00432CAD" w:rsidP="002F2988">
            <w:pPr>
              <w:numPr>
                <w:ilvl w:val="0"/>
                <w:numId w:val="9"/>
              </w:numPr>
              <w:tabs>
                <w:tab w:val="clear" w:pos="720"/>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Plochy.</w:t>
            </w:r>
            <w:r w:rsidRPr="009E2454">
              <w:rPr>
                <w:rFonts w:ascii="Calibri" w:eastAsia="Times New Roman" w:hAnsi="Calibri" w:cs="Calibri"/>
                <w:sz w:val="16"/>
                <w:szCs w:val="16"/>
              </w:rPr>
              <w:t xml:space="preserve"> Plochy Priestorov, rovnako ako akékoľvek iné merania Prenajímateľa sú v súlade s BOMA štandardami (www.boma.org).</w:t>
            </w:r>
          </w:p>
        </w:tc>
      </w:tr>
      <w:tr w:rsidR="00432CAD" w:rsidRPr="009E2454" w14:paraId="762AB0DC" w14:textId="77777777" w:rsidTr="002F2988">
        <w:tc>
          <w:tcPr>
            <w:tcW w:w="4649" w:type="dxa"/>
          </w:tcPr>
          <w:p w14:paraId="35B28EE7" w14:textId="77777777" w:rsidR="00432CAD" w:rsidRPr="009E2454" w:rsidRDefault="00432CAD" w:rsidP="002F2988">
            <w:pPr>
              <w:numPr>
                <w:ilvl w:val="0"/>
                <w:numId w:val="4"/>
              </w:numPr>
              <w:spacing w:before="120"/>
              <w:rPr>
                <w:rFonts w:ascii="Calibri" w:eastAsia="Times New Roman" w:hAnsi="Calibri" w:cs="Calibri"/>
                <w:b/>
                <w:sz w:val="16"/>
                <w:szCs w:val="16"/>
                <w:u w:val="single"/>
                <w:lang w:val="en-US"/>
              </w:rPr>
            </w:pPr>
            <w:r w:rsidRPr="009E2454">
              <w:rPr>
                <w:rFonts w:ascii="Calibri" w:eastAsia="Times New Roman" w:hAnsi="Calibri" w:cs="Calibri"/>
                <w:b/>
                <w:sz w:val="16"/>
                <w:szCs w:val="16"/>
                <w:u w:val="single"/>
                <w:lang w:val="en-US"/>
              </w:rPr>
              <w:t>Conference Rooms.</w:t>
            </w:r>
            <w:r w:rsidRPr="009E2454">
              <w:rPr>
                <w:rFonts w:ascii="Calibri" w:eastAsia="Times New Roman" w:hAnsi="Calibri" w:cs="Calibri"/>
                <w:sz w:val="16"/>
                <w:szCs w:val="16"/>
                <w:lang w:val="en-US"/>
              </w:rPr>
              <w:t xml:space="preserve"> The Tenant is entitled to use, at a reasonable extent, but not exceeding 10 hours per calendar month, conference rooms located on the 1</w:t>
            </w:r>
            <w:r w:rsidRPr="009E2454">
              <w:rPr>
                <w:rFonts w:ascii="Calibri" w:eastAsia="Times New Roman" w:hAnsi="Calibri" w:cs="Calibri"/>
                <w:sz w:val="16"/>
                <w:szCs w:val="16"/>
                <w:vertAlign w:val="superscript"/>
                <w:lang w:val="en-US"/>
              </w:rPr>
              <w:t>st</w:t>
            </w:r>
            <w:r w:rsidRPr="000F0FEE">
              <w:rPr>
                <w:rFonts w:ascii="Calibri" w:eastAsia="Times New Roman" w:hAnsi="Calibri" w:cs="Calibri"/>
                <w:sz w:val="16"/>
                <w:szCs w:val="16"/>
                <w:lang w:val="en-US"/>
              </w:rPr>
              <w:t xml:space="preserve">, </w:t>
            </w:r>
            <w:r w:rsidRPr="009E2454">
              <w:rPr>
                <w:rFonts w:ascii="Calibri" w:eastAsia="Times New Roman" w:hAnsi="Calibri" w:cs="Calibri"/>
                <w:sz w:val="16"/>
                <w:szCs w:val="16"/>
                <w:lang w:val="en-US"/>
              </w:rPr>
              <w:t xml:space="preserve"> 2</w:t>
            </w:r>
            <w:r w:rsidRPr="009E2454">
              <w:rPr>
                <w:rFonts w:ascii="Calibri" w:eastAsia="Times New Roman" w:hAnsi="Calibri" w:cs="Calibri"/>
                <w:sz w:val="16"/>
                <w:szCs w:val="16"/>
                <w:vertAlign w:val="superscript"/>
                <w:lang w:val="en-US"/>
              </w:rPr>
              <w:t>nd</w:t>
            </w:r>
            <w:r w:rsidRPr="009E2454">
              <w:rPr>
                <w:rFonts w:ascii="Calibri" w:eastAsia="Times New Roman" w:hAnsi="Calibri" w:cs="Calibri"/>
                <w:sz w:val="16"/>
                <w:szCs w:val="16"/>
                <w:lang w:val="en-US"/>
              </w:rPr>
              <w:t xml:space="preserve"> </w:t>
            </w:r>
            <w:r>
              <w:rPr>
                <w:rFonts w:ascii="Calibri" w:eastAsia="Times New Roman" w:hAnsi="Calibri" w:cs="Calibri"/>
                <w:sz w:val="16"/>
                <w:szCs w:val="16"/>
                <w:lang w:val="en-US"/>
              </w:rPr>
              <w:t>and 4</w:t>
            </w:r>
            <w:r w:rsidRPr="000F0FEE">
              <w:rPr>
                <w:rFonts w:ascii="Calibri" w:eastAsia="Times New Roman" w:hAnsi="Calibri" w:cs="Calibri"/>
                <w:sz w:val="16"/>
                <w:szCs w:val="16"/>
                <w:vertAlign w:val="superscript"/>
                <w:lang w:val="en-US"/>
              </w:rPr>
              <w:t>th</w:t>
            </w:r>
            <w:r>
              <w:rPr>
                <w:rFonts w:ascii="Calibri" w:eastAsia="Times New Roman" w:hAnsi="Calibri" w:cs="Calibri"/>
                <w:sz w:val="16"/>
                <w:szCs w:val="16"/>
                <w:lang w:val="en-US"/>
              </w:rPr>
              <w:t xml:space="preserve"> </w:t>
            </w:r>
            <w:r w:rsidRPr="009E2454">
              <w:rPr>
                <w:rFonts w:ascii="Calibri" w:eastAsia="Times New Roman" w:hAnsi="Calibri" w:cs="Calibri"/>
                <w:sz w:val="16"/>
                <w:szCs w:val="16"/>
                <w:lang w:val="en-US"/>
              </w:rPr>
              <w:t>floor of the Building (the “</w:t>
            </w:r>
            <w:r w:rsidRPr="009E2454">
              <w:rPr>
                <w:rFonts w:ascii="Calibri" w:eastAsia="Times New Roman" w:hAnsi="Calibri" w:cs="Calibri"/>
                <w:b/>
                <w:sz w:val="16"/>
                <w:szCs w:val="16"/>
                <w:lang w:val="en-US"/>
              </w:rPr>
              <w:t>Conference Rooms</w:t>
            </w:r>
            <w:r w:rsidRPr="009E2454">
              <w:rPr>
                <w:rFonts w:ascii="Calibri" w:eastAsia="Times New Roman" w:hAnsi="Calibri" w:cs="Calibri"/>
                <w:sz w:val="16"/>
                <w:szCs w:val="16"/>
                <w:lang w:val="en-US"/>
              </w:rPr>
              <w:t>”). The Tenant shall pay for the use of the Conference Rooms in excess of 10 hours per colander month a fee in the amount of EUR 10 per hour excl. VAT. Detailed manner of use of the Conference Rooms, including the exact specification of date and time, shall be in each single case determined by the Lessor to ensure effective use of the Conference Rooms by other tenants as well.</w:t>
            </w:r>
          </w:p>
        </w:tc>
        <w:tc>
          <w:tcPr>
            <w:tcW w:w="4649" w:type="dxa"/>
          </w:tcPr>
          <w:p w14:paraId="1E2114E1" w14:textId="77777777" w:rsidR="00432CAD" w:rsidRPr="009E2454" w:rsidRDefault="00432CAD" w:rsidP="002F2988">
            <w:pPr>
              <w:numPr>
                <w:ilvl w:val="0"/>
                <w:numId w:val="9"/>
              </w:numPr>
              <w:tabs>
                <w:tab w:val="clear" w:pos="720"/>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Konferenčné miestnosti.</w:t>
            </w:r>
            <w:r w:rsidRPr="009E2454">
              <w:rPr>
                <w:rFonts w:ascii="Calibri" w:eastAsia="Times New Roman" w:hAnsi="Calibri" w:cs="Calibri"/>
                <w:sz w:val="16"/>
                <w:szCs w:val="16"/>
              </w:rPr>
              <w:t xml:space="preserve"> Nájomca je oprávnený v primeranom rozsahu, najviac však 10 hodín v kalendárnom mesiaci, užívať konferenčné miestnosti nachádzajúce sa na 1.</w:t>
            </w:r>
            <w:r>
              <w:rPr>
                <w:rFonts w:ascii="Calibri" w:eastAsia="Times New Roman" w:hAnsi="Calibri" w:cs="Calibri"/>
                <w:sz w:val="16"/>
                <w:szCs w:val="16"/>
              </w:rPr>
              <w:t>,</w:t>
            </w:r>
            <w:r w:rsidRPr="009E2454">
              <w:rPr>
                <w:rFonts w:ascii="Calibri" w:eastAsia="Times New Roman" w:hAnsi="Calibri" w:cs="Calibri"/>
                <w:sz w:val="16"/>
                <w:szCs w:val="16"/>
              </w:rPr>
              <w:t xml:space="preserve"> 2. </w:t>
            </w:r>
            <w:r>
              <w:rPr>
                <w:rFonts w:ascii="Calibri" w:eastAsia="Times New Roman" w:hAnsi="Calibri" w:cs="Calibri"/>
                <w:sz w:val="16"/>
                <w:szCs w:val="16"/>
              </w:rPr>
              <w:t xml:space="preserve">a 4. </w:t>
            </w:r>
            <w:r w:rsidRPr="009E2454">
              <w:rPr>
                <w:rFonts w:ascii="Calibri" w:eastAsia="Times New Roman" w:hAnsi="Calibri" w:cs="Calibri"/>
                <w:sz w:val="16"/>
                <w:szCs w:val="16"/>
              </w:rPr>
              <w:t>poschodí Budovy („</w:t>
            </w:r>
            <w:r w:rsidRPr="009E2454">
              <w:rPr>
                <w:rFonts w:ascii="Calibri" w:eastAsia="Times New Roman" w:hAnsi="Calibri" w:cs="Calibri"/>
                <w:b/>
                <w:sz w:val="16"/>
                <w:szCs w:val="16"/>
              </w:rPr>
              <w:t>Konferenčné miestnosti</w:t>
            </w:r>
            <w:r w:rsidRPr="009E2454">
              <w:rPr>
                <w:rFonts w:ascii="Calibri" w:eastAsia="Times New Roman" w:hAnsi="Calibri" w:cs="Calibri"/>
                <w:sz w:val="16"/>
                <w:szCs w:val="16"/>
              </w:rPr>
              <w:t>“). Nájomca zaplatí za užívanie Konferenčných miestností v rozsahu prekračujúcom 10 hodín počas kalendárneho mesiaca poplatok vo výške 10,- EUR za hodinu bez DPH. Konkrétny spôsob užívania Konferenčných miestností, vrátane presnej špecifikácie dátumu a času, bude vždy v každom jednotlivom prípade určený Prenajímateľom tak, aby Konferenčné miestnosti boli efektívne využívané aj inými nájomcami.</w:t>
            </w:r>
          </w:p>
        </w:tc>
      </w:tr>
      <w:tr w:rsidR="00432CAD" w:rsidRPr="009E2454" w14:paraId="44C98423" w14:textId="77777777" w:rsidTr="002F2988">
        <w:tc>
          <w:tcPr>
            <w:tcW w:w="4649" w:type="dxa"/>
          </w:tcPr>
          <w:p w14:paraId="5ECFDFCE" w14:textId="77777777" w:rsidR="00432CAD" w:rsidRPr="009E2454" w:rsidRDefault="00432CAD" w:rsidP="002F2988">
            <w:pPr>
              <w:keepNext/>
              <w:spacing w:before="120"/>
              <w:jc w:val="center"/>
              <w:outlineLvl w:val="0"/>
              <w:rPr>
                <w:rFonts w:ascii="Calibri" w:eastAsia="Times New Roman" w:hAnsi="Calibri" w:cs="Calibri"/>
                <w:b/>
                <w:bCs/>
                <w:caps/>
                <w:sz w:val="16"/>
                <w:szCs w:val="16"/>
                <w:lang w:val="en-US"/>
              </w:rPr>
            </w:pPr>
            <w:r w:rsidRPr="009E2454">
              <w:rPr>
                <w:rFonts w:ascii="Calibri" w:eastAsia="Times New Roman" w:hAnsi="Calibri" w:cs="Calibri"/>
                <w:b/>
                <w:bCs/>
                <w:caps/>
                <w:sz w:val="16"/>
                <w:szCs w:val="16"/>
                <w:lang w:val="en-US"/>
              </w:rPr>
              <w:t>II. Payment Conditions</w:t>
            </w:r>
          </w:p>
        </w:tc>
        <w:tc>
          <w:tcPr>
            <w:tcW w:w="4649" w:type="dxa"/>
          </w:tcPr>
          <w:p w14:paraId="67C9D3A6" w14:textId="77777777" w:rsidR="00432CAD" w:rsidRPr="009E2454" w:rsidRDefault="00432CAD" w:rsidP="002F2988">
            <w:pPr>
              <w:keepNext/>
              <w:spacing w:before="120"/>
              <w:jc w:val="center"/>
              <w:outlineLvl w:val="0"/>
              <w:rPr>
                <w:rFonts w:ascii="Calibri" w:eastAsia="Times New Roman" w:hAnsi="Calibri" w:cs="Calibri"/>
                <w:b/>
                <w:bCs/>
                <w:caps/>
                <w:sz w:val="16"/>
                <w:szCs w:val="16"/>
              </w:rPr>
            </w:pPr>
            <w:r w:rsidRPr="009E2454">
              <w:rPr>
                <w:rFonts w:ascii="Calibri" w:eastAsia="Times New Roman" w:hAnsi="Calibri" w:cs="Calibri"/>
                <w:b/>
                <w:bCs/>
                <w:caps/>
                <w:sz w:val="16"/>
                <w:szCs w:val="16"/>
              </w:rPr>
              <w:t>II. Platobné podmienky</w:t>
            </w:r>
          </w:p>
        </w:tc>
      </w:tr>
      <w:tr w:rsidR="00432CAD" w:rsidRPr="009E2454" w14:paraId="53B65804" w14:textId="77777777" w:rsidTr="002F2988">
        <w:tc>
          <w:tcPr>
            <w:tcW w:w="4649" w:type="dxa"/>
          </w:tcPr>
          <w:p w14:paraId="01DEFDB9" w14:textId="77777777" w:rsidR="00432CAD" w:rsidRPr="009E2454" w:rsidRDefault="00432CAD" w:rsidP="002F2988">
            <w:pPr>
              <w:numPr>
                <w:ilvl w:val="0"/>
                <w:numId w:val="5"/>
              </w:numPr>
              <w:spacing w:before="120"/>
              <w:rPr>
                <w:rFonts w:ascii="Calibri" w:eastAsia="Times New Roman" w:hAnsi="Calibri" w:cs="Calibri"/>
                <w:sz w:val="16"/>
                <w:szCs w:val="16"/>
                <w:u w:val="single"/>
                <w:lang w:val="en-US"/>
              </w:rPr>
            </w:pPr>
            <w:r>
              <w:rPr>
                <w:rFonts w:ascii="Calibri" w:eastAsia="Times New Roman" w:hAnsi="Calibri" w:cs="Calibri"/>
                <w:b/>
                <w:sz w:val="16"/>
                <w:szCs w:val="16"/>
                <w:u w:val="single"/>
                <w:lang w:val="en-US"/>
              </w:rPr>
              <w:t>Invoices</w:t>
            </w:r>
            <w:r w:rsidRPr="009E2454">
              <w:rPr>
                <w:rFonts w:ascii="Calibri" w:eastAsia="Times New Roman" w:hAnsi="Calibri" w:cs="Calibri"/>
                <w:b/>
                <w:sz w:val="16"/>
                <w:szCs w:val="16"/>
                <w:u w:val="single"/>
                <w:lang w:val="en-US"/>
              </w:rPr>
              <w:t>.</w:t>
            </w:r>
            <w:r w:rsidRPr="009E2454">
              <w:rPr>
                <w:rFonts w:ascii="Calibri" w:eastAsia="Times New Roman" w:hAnsi="Calibri" w:cs="Calibri"/>
                <w:sz w:val="16"/>
                <w:szCs w:val="16"/>
                <w:lang w:val="en-US"/>
              </w:rPr>
              <w:t xml:space="preserve"> The Rent shall be paid on the basis </w:t>
            </w:r>
            <w:r>
              <w:rPr>
                <w:rFonts w:ascii="Calibri" w:eastAsia="Times New Roman" w:hAnsi="Calibri" w:cs="Calibri"/>
                <w:sz w:val="16"/>
                <w:szCs w:val="16"/>
                <w:lang w:val="en-US"/>
              </w:rPr>
              <w:t xml:space="preserve">of invoices with </w:t>
            </w:r>
            <w:r w:rsidRPr="008356BC">
              <w:rPr>
                <w:rFonts w:ascii="Calibri" w:eastAsia="Times New Roman" w:hAnsi="Calibri" w:cs="Calibri"/>
                <w:sz w:val="16"/>
                <w:szCs w:val="16"/>
                <w:lang w:val="en-US"/>
              </w:rPr>
              <w:t>prerequisites of a due tax document</w:t>
            </w:r>
            <w:r>
              <w:rPr>
                <w:rFonts w:ascii="Calibri" w:eastAsia="Times New Roman" w:hAnsi="Calibri" w:cs="Calibri"/>
                <w:sz w:val="16"/>
                <w:szCs w:val="16"/>
                <w:lang w:val="en-US"/>
              </w:rPr>
              <w:t>, which the Lessor will issue in the calendar month in which the Rent is payable</w:t>
            </w:r>
            <w:r w:rsidRPr="009E2454">
              <w:rPr>
                <w:rFonts w:ascii="Calibri" w:eastAsia="Times New Roman" w:hAnsi="Calibri" w:cs="Calibri"/>
                <w:sz w:val="16"/>
                <w:szCs w:val="16"/>
                <w:lang w:val="en-US"/>
              </w:rPr>
              <w:t xml:space="preserve">. The Lessor shall deliver to the Tenant </w:t>
            </w:r>
            <w:r>
              <w:rPr>
                <w:rFonts w:ascii="Calibri" w:eastAsia="Times New Roman" w:hAnsi="Calibri" w:cs="Calibri"/>
                <w:sz w:val="16"/>
                <w:szCs w:val="16"/>
                <w:lang w:val="en-US"/>
              </w:rPr>
              <w:t>each</w:t>
            </w:r>
            <w:r w:rsidRPr="009E2454">
              <w:rPr>
                <w:rFonts w:ascii="Calibri" w:eastAsia="Times New Roman" w:hAnsi="Calibri" w:cs="Calibri"/>
                <w:sz w:val="16"/>
                <w:szCs w:val="16"/>
                <w:lang w:val="en-US"/>
              </w:rPr>
              <w:t xml:space="preserve"> </w:t>
            </w:r>
            <w:r>
              <w:rPr>
                <w:rFonts w:ascii="Calibri" w:eastAsia="Times New Roman" w:hAnsi="Calibri" w:cs="Calibri"/>
                <w:sz w:val="16"/>
                <w:szCs w:val="16"/>
                <w:lang w:val="en-US"/>
              </w:rPr>
              <w:t>invoice without undue delay after it is issued</w:t>
            </w:r>
            <w:r w:rsidRPr="009E2454">
              <w:rPr>
                <w:rFonts w:ascii="Calibri" w:eastAsia="Times New Roman" w:hAnsi="Calibri" w:cs="Calibri"/>
                <w:sz w:val="16"/>
                <w:szCs w:val="16"/>
                <w:lang w:val="en-US"/>
              </w:rPr>
              <w:t>.</w:t>
            </w:r>
          </w:p>
        </w:tc>
        <w:tc>
          <w:tcPr>
            <w:tcW w:w="4649" w:type="dxa"/>
          </w:tcPr>
          <w:p w14:paraId="62B84EDD" w14:textId="77777777" w:rsidR="00432CAD" w:rsidRPr="009E2454" w:rsidRDefault="00432CAD" w:rsidP="002F2988">
            <w:pPr>
              <w:numPr>
                <w:ilvl w:val="0"/>
                <w:numId w:val="10"/>
              </w:numPr>
              <w:tabs>
                <w:tab w:val="num" w:pos="391"/>
              </w:tabs>
              <w:spacing w:before="120"/>
              <w:ind w:left="391"/>
              <w:rPr>
                <w:rFonts w:ascii="Calibri" w:eastAsia="Times New Roman" w:hAnsi="Calibri" w:cs="Calibri"/>
                <w:b/>
                <w:sz w:val="16"/>
                <w:szCs w:val="16"/>
                <w:u w:val="single"/>
              </w:rPr>
            </w:pPr>
            <w:r>
              <w:rPr>
                <w:rFonts w:ascii="Calibri" w:eastAsia="Times New Roman" w:hAnsi="Calibri" w:cs="Calibri"/>
                <w:b/>
                <w:sz w:val="16"/>
                <w:szCs w:val="16"/>
                <w:u w:val="single"/>
              </w:rPr>
              <w:t>Faktúry</w:t>
            </w:r>
            <w:r w:rsidRPr="009E2454">
              <w:rPr>
                <w:rFonts w:ascii="Calibri" w:eastAsia="Times New Roman" w:hAnsi="Calibri" w:cs="Calibri"/>
                <w:b/>
                <w:sz w:val="16"/>
                <w:szCs w:val="16"/>
                <w:u w:val="single"/>
              </w:rPr>
              <w:t>.</w:t>
            </w:r>
            <w:r w:rsidRPr="009E2454">
              <w:rPr>
                <w:rFonts w:ascii="Calibri" w:eastAsia="Times New Roman" w:hAnsi="Calibri" w:cs="Calibri"/>
                <w:sz w:val="16"/>
                <w:szCs w:val="16"/>
              </w:rPr>
              <w:t xml:space="preserve"> Nájomné sa platí na základe </w:t>
            </w:r>
            <w:r>
              <w:rPr>
                <w:rFonts w:ascii="Calibri" w:eastAsia="Times New Roman" w:hAnsi="Calibri" w:cs="Calibri"/>
                <w:sz w:val="16"/>
                <w:szCs w:val="16"/>
              </w:rPr>
              <w:t>faktúr</w:t>
            </w:r>
            <w:r w:rsidRPr="001E1C18">
              <w:rPr>
                <w:rFonts w:ascii="Calibri" w:eastAsia="Times New Roman" w:hAnsi="Calibri" w:cs="Calibri"/>
                <w:sz w:val="16"/>
                <w:szCs w:val="16"/>
              </w:rPr>
              <w:t xml:space="preserve"> s náležitosťami riadneho daňového dokladu, </w:t>
            </w:r>
            <w:r>
              <w:rPr>
                <w:rFonts w:ascii="Calibri" w:eastAsia="Times New Roman" w:hAnsi="Calibri" w:cs="Calibri"/>
                <w:sz w:val="16"/>
                <w:szCs w:val="16"/>
              </w:rPr>
              <w:t>ktoré Prenajímateľ vystaví</w:t>
            </w:r>
            <w:r w:rsidRPr="001E1C18">
              <w:rPr>
                <w:rFonts w:ascii="Calibri" w:eastAsia="Times New Roman" w:hAnsi="Calibri" w:cs="Calibri"/>
                <w:sz w:val="16"/>
                <w:szCs w:val="16"/>
              </w:rPr>
              <w:t xml:space="preserve"> </w:t>
            </w:r>
            <w:r>
              <w:rPr>
                <w:rFonts w:ascii="Calibri" w:eastAsia="Times New Roman" w:hAnsi="Calibri" w:cs="Calibri"/>
                <w:sz w:val="16"/>
                <w:szCs w:val="16"/>
              </w:rPr>
              <w:t>v</w:t>
            </w:r>
            <w:r w:rsidRPr="001E1C18">
              <w:rPr>
                <w:rFonts w:ascii="Calibri" w:eastAsia="Times New Roman" w:hAnsi="Calibri" w:cs="Calibri"/>
                <w:sz w:val="16"/>
                <w:szCs w:val="16"/>
              </w:rPr>
              <w:t xml:space="preserve"> kalendárno</w:t>
            </w:r>
            <w:r>
              <w:rPr>
                <w:rFonts w:ascii="Calibri" w:eastAsia="Times New Roman" w:hAnsi="Calibri" w:cs="Calibri"/>
                <w:sz w:val="16"/>
                <w:szCs w:val="16"/>
              </w:rPr>
              <w:t>m</w:t>
            </w:r>
            <w:r w:rsidRPr="001E1C18">
              <w:rPr>
                <w:rFonts w:ascii="Calibri" w:eastAsia="Times New Roman" w:hAnsi="Calibri" w:cs="Calibri"/>
                <w:sz w:val="16"/>
                <w:szCs w:val="16"/>
              </w:rPr>
              <w:t xml:space="preserve"> mesiac</w:t>
            </w:r>
            <w:r>
              <w:rPr>
                <w:rFonts w:ascii="Calibri" w:eastAsia="Times New Roman" w:hAnsi="Calibri" w:cs="Calibri"/>
                <w:sz w:val="16"/>
                <w:szCs w:val="16"/>
              </w:rPr>
              <w:t>i</w:t>
            </w:r>
            <w:r w:rsidRPr="001E1C18">
              <w:rPr>
                <w:rFonts w:ascii="Calibri" w:eastAsia="Times New Roman" w:hAnsi="Calibri" w:cs="Calibri"/>
                <w:sz w:val="16"/>
                <w:szCs w:val="16"/>
              </w:rPr>
              <w:t xml:space="preserve">, v ktorom nastáva splatnosť </w:t>
            </w:r>
            <w:r>
              <w:rPr>
                <w:rFonts w:ascii="Calibri" w:eastAsia="Times New Roman" w:hAnsi="Calibri" w:cs="Calibri"/>
                <w:sz w:val="16"/>
                <w:szCs w:val="16"/>
              </w:rPr>
              <w:t>Nájomného</w:t>
            </w:r>
            <w:r w:rsidRPr="009E2454">
              <w:rPr>
                <w:rFonts w:ascii="Calibri" w:eastAsia="Times New Roman" w:hAnsi="Calibri" w:cs="Calibri"/>
                <w:sz w:val="16"/>
                <w:szCs w:val="16"/>
              </w:rPr>
              <w:t xml:space="preserve">. Prenajímateľ doručí Nájomcovi </w:t>
            </w:r>
            <w:r>
              <w:rPr>
                <w:rFonts w:ascii="Calibri" w:eastAsia="Times New Roman" w:hAnsi="Calibri" w:cs="Calibri"/>
                <w:sz w:val="16"/>
                <w:szCs w:val="16"/>
              </w:rPr>
              <w:t>každú faktúru bez zbytočného odkladu po jej vystavení</w:t>
            </w:r>
            <w:r w:rsidRPr="009E2454">
              <w:rPr>
                <w:rFonts w:ascii="Calibri" w:eastAsia="Times New Roman" w:hAnsi="Calibri" w:cs="Calibri"/>
                <w:sz w:val="16"/>
                <w:szCs w:val="16"/>
              </w:rPr>
              <w:t>.</w:t>
            </w:r>
          </w:p>
        </w:tc>
      </w:tr>
      <w:tr w:rsidR="00432CAD" w:rsidRPr="009E2454" w14:paraId="3BF0196D" w14:textId="77777777" w:rsidTr="002F2988">
        <w:tc>
          <w:tcPr>
            <w:tcW w:w="4649" w:type="dxa"/>
          </w:tcPr>
          <w:p w14:paraId="155B793B" w14:textId="77777777" w:rsidR="00432CAD" w:rsidRPr="009E2454" w:rsidRDefault="00432CAD" w:rsidP="002F2988">
            <w:pPr>
              <w:numPr>
                <w:ilvl w:val="0"/>
                <w:numId w:val="5"/>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Indexation.</w:t>
            </w:r>
            <w:r w:rsidRPr="009E2454">
              <w:rPr>
                <w:rFonts w:ascii="Calibri" w:eastAsia="Times New Roman" w:hAnsi="Calibri" w:cs="Calibri"/>
                <w:sz w:val="16"/>
                <w:szCs w:val="16"/>
                <w:lang w:val="en-US"/>
              </w:rPr>
              <w:t xml:space="preserve"> </w:t>
            </w:r>
            <w:r>
              <w:rPr>
                <w:rFonts w:ascii="Calibri" w:eastAsia="Times New Roman" w:hAnsi="Calibri" w:cs="Calibri"/>
                <w:sz w:val="16"/>
                <w:szCs w:val="16"/>
                <w:lang w:val="en-US"/>
              </w:rPr>
              <w:t>With retroactive effect from the January 1</w:t>
            </w:r>
            <w:r w:rsidRPr="00A9320D">
              <w:rPr>
                <w:rFonts w:ascii="Calibri" w:eastAsia="Times New Roman" w:hAnsi="Calibri" w:cs="Calibri"/>
                <w:sz w:val="16"/>
                <w:szCs w:val="16"/>
                <w:vertAlign w:val="superscript"/>
                <w:lang w:val="en-US"/>
              </w:rPr>
              <w:t>st</w:t>
            </w:r>
            <w:r>
              <w:rPr>
                <w:rFonts w:ascii="Calibri" w:eastAsia="Times New Roman" w:hAnsi="Calibri" w:cs="Calibri"/>
                <w:sz w:val="16"/>
                <w:szCs w:val="16"/>
                <w:lang w:val="en-US"/>
              </w:rPr>
              <w:t xml:space="preserve"> of the second calendar year of the Term, the Rent shall be increased by a Consumer Price Index of the European Union (EU-28) published by the European Central Bank, at minimum percentage 2 %, if the inflation is less than 2 %. Rent increase shall be effective on January 1</w:t>
            </w:r>
            <w:r w:rsidRPr="00A9320D">
              <w:rPr>
                <w:rFonts w:ascii="Calibri" w:eastAsia="Times New Roman" w:hAnsi="Calibri" w:cs="Calibri"/>
                <w:sz w:val="16"/>
                <w:szCs w:val="16"/>
                <w:vertAlign w:val="superscript"/>
                <w:lang w:val="en-US"/>
              </w:rPr>
              <w:t>st</w:t>
            </w:r>
            <w:r>
              <w:rPr>
                <w:rFonts w:ascii="Calibri" w:eastAsia="Times New Roman" w:hAnsi="Calibri" w:cs="Calibri"/>
                <w:sz w:val="16"/>
                <w:szCs w:val="16"/>
                <w:lang w:val="en-US"/>
              </w:rPr>
              <w:t xml:space="preserve"> of the respective calendar year,. The base of calculating the Rent increase in the following years shall be the amount of Rent payable in the previous year. The Rent shall never be decreased as a result of indexation in accordance with this paragraph. </w:t>
            </w:r>
          </w:p>
        </w:tc>
        <w:tc>
          <w:tcPr>
            <w:tcW w:w="4649" w:type="dxa"/>
          </w:tcPr>
          <w:p w14:paraId="714695DC" w14:textId="77777777" w:rsidR="00432CAD" w:rsidRPr="009E2454" w:rsidRDefault="00432CAD" w:rsidP="002F2988">
            <w:pPr>
              <w:numPr>
                <w:ilvl w:val="0"/>
                <w:numId w:val="10"/>
              </w:numPr>
              <w:tabs>
                <w:tab w:val="clear" w:pos="720"/>
              </w:tabs>
              <w:spacing w:before="120"/>
              <w:ind w:left="341" w:hanging="341"/>
              <w:rPr>
                <w:rFonts w:ascii="Calibri" w:eastAsia="Times New Roman" w:hAnsi="Calibri" w:cs="Calibri"/>
                <w:sz w:val="16"/>
                <w:szCs w:val="16"/>
              </w:rPr>
            </w:pPr>
            <w:r w:rsidRPr="009E2454">
              <w:rPr>
                <w:rFonts w:ascii="Calibri" w:eastAsia="Times New Roman" w:hAnsi="Calibri" w:cs="Calibri"/>
                <w:b/>
                <w:sz w:val="16"/>
                <w:szCs w:val="16"/>
                <w:u w:val="single"/>
              </w:rPr>
              <w:t>Indexácia.</w:t>
            </w:r>
            <w:r w:rsidRPr="009E2454">
              <w:rPr>
                <w:rFonts w:ascii="Calibri" w:eastAsia="Times New Roman" w:hAnsi="Calibri" w:cs="Calibri"/>
                <w:sz w:val="16"/>
                <w:szCs w:val="16"/>
              </w:rPr>
              <w:t xml:space="preserve"> </w:t>
            </w:r>
            <w:r w:rsidRPr="00F43DF8">
              <w:rPr>
                <w:rFonts w:ascii="Calibri" w:eastAsia="Times New Roman" w:hAnsi="Calibri" w:cs="Calibri"/>
                <w:sz w:val="16"/>
                <w:szCs w:val="16"/>
              </w:rPr>
              <w:t>S retroaktívnym účinkom od 1. januára druhéh</w:t>
            </w:r>
            <w:r>
              <w:rPr>
                <w:rFonts w:ascii="Calibri" w:eastAsia="Times New Roman" w:hAnsi="Calibri" w:cs="Calibri"/>
                <w:sz w:val="16"/>
                <w:szCs w:val="16"/>
              </w:rPr>
              <w:t>o kalendárneho roka Doby nájmu bude Nájomné ročne zvyšované</w:t>
            </w:r>
            <w:r w:rsidRPr="00F43DF8">
              <w:rPr>
                <w:rFonts w:ascii="Calibri" w:eastAsia="Times New Roman" w:hAnsi="Calibri" w:cs="Calibri"/>
                <w:sz w:val="16"/>
                <w:szCs w:val="16"/>
              </w:rPr>
              <w:t xml:space="preserve"> o Index Spotrebiteľských Cien (Consumer Price Index) Európskej únie (EU-28) publikovaný Európskou centrálnou bankou, minimálne však 2% pokiaľ je inflácia</w:t>
            </w:r>
            <w:r>
              <w:rPr>
                <w:rFonts w:ascii="Calibri" w:eastAsia="Times New Roman" w:hAnsi="Calibri" w:cs="Calibri"/>
                <w:sz w:val="16"/>
                <w:szCs w:val="16"/>
              </w:rPr>
              <w:t xml:space="preserve"> menej ako 2%. Zvýšenie Nájomného</w:t>
            </w:r>
            <w:r w:rsidRPr="00F43DF8">
              <w:rPr>
                <w:rFonts w:ascii="Calibri" w:eastAsia="Times New Roman" w:hAnsi="Calibri" w:cs="Calibri"/>
                <w:sz w:val="16"/>
                <w:szCs w:val="16"/>
              </w:rPr>
              <w:t xml:space="preserve"> bude účinné k 1. januáru príslušného kalendárneho roka. Základom pre výpočet zvýšenia </w:t>
            </w:r>
            <w:r>
              <w:rPr>
                <w:rFonts w:ascii="Calibri" w:eastAsia="Times New Roman" w:hAnsi="Calibri" w:cs="Calibri"/>
                <w:sz w:val="16"/>
                <w:szCs w:val="16"/>
              </w:rPr>
              <w:t>Nájomného</w:t>
            </w:r>
            <w:r w:rsidRPr="00F43DF8">
              <w:rPr>
                <w:rFonts w:ascii="Calibri" w:eastAsia="Times New Roman" w:hAnsi="Calibri" w:cs="Calibri"/>
                <w:sz w:val="16"/>
                <w:szCs w:val="16"/>
              </w:rPr>
              <w:t xml:space="preserve"> pre ďalšie ro</w:t>
            </w:r>
            <w:r>
              <w:rPr>
                <w:rFonts w:ascii="Calibri" w:eastAsia="Times New Roman" w:hAnsi="Calibri" w:cs="Calibri"/>
                <w:sz w:val="16"/>
                <w:szCs w:val="16"/>
              </w:rPr>
              <w:t>ky je suma Nájomného</w:t>
            </w:r>
            <w:r w:rsidRPr="00F43DF8">
              <w:rPr>
                <w:rFonts w:ascii="Calibri" w:eastAsia="Times New Roman" w:hAnsi="Calibri" w:cs="Calibri"/>
                <w:sz w:val="16"/>
                <w:szCs w:val="16"/>
              </w:rPr>
              <w:t xml:space="preserve"> splatná v predchádzajúcom roku.</w:t>
            </w:r>
            <w:r>
              <w:rPr>
                <w:rFonts w:ascii="Calibri" w:eastAsia="Times New Roman" w:hAnsi="Calibri" w:cs="Calibri"/>
                <w:sz w:val="16"/>
                <w:szCs w:val="16"/>
              </w:rPr>
              <w:t xml:space="preserve"> Nájomné sa podľa tohto odseku ako výsledok indexácie nikdy nezníži.</w:t>
            </w:r>
          </w:p>
        </w:tc>
      </w:tr>
      <w:tr w:rsidR="00432CAD" w:rsidRPr="009E2454" w14:paraId="465663ED" w14:textId="77777777" w:rsidTr="002F2988">
        <w:tc>
          <w:tcPr>
            <w:tcW w:w="4649" w:type="dxa"/>
          </w:tcPr>
          <w:p w14:paraId="050C31DC" w14:textId="77777777" w:rsidR="00432CAD" w:rsidRPr="009E2454" w:rsidRDefault="00432CAD" w:rsidP="002F2988">
            <w:pPr>
              <w:numPr>
                <w:ilvl w:val="0"/>
                <w:numId w:val="5"/>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VAT.</w:t>
            </w:r>
            <w:r w:rsidRPr="009E2454">
              <w:rPr>
                <w:rFonts w:ascii="Calibri" w:eastAsia="Times New Roman" w:hAnsi="Calibri" w:cs="Calibri"/>
                <w:sz w:val="16"/>
                <w:szCs w:val="16"/>
                <w:lang w:val="en-US"/>
              </w:rPr>
              <w:t xml:space="preserve"> The Tenant </w:t>
            </w:r>
            <w:r>
              <w:rPr>
                <w:rFonts w:ascii="Calibri" w:eastAsia="Times New Roman" w:hAnsi="Calibri" w:cs="Calibri"/>
                <w:sz w:val="16"/>
                <w:szCs w:val="16"/>
                <w:lang w:val="en-US"/>
              </w:rPr>
              <w:t xml:space="preserve">undertakes that </w:t>
            </w:r>
            <w:r w:rsidRPr="009E2454">
              <w:rPr>
                <w:rFonts w:ascii="Calibri" w:eastAsia="Times New Roman" w:hAnsi="Calibri" w:cs="Calibri"/>
                <w:sz w:val="16"/>
                <w:szCs w:val="16"/>
                <w:lang w:val="en-US"/>
              </w:rPr>
              <w:t>the Lessor will charge VAT on the Rent and all other amounts due under the Agreement to the extent permitted by</w:t>
            </w:r>
            <w:r>
              <w:rPr>
                <w:rFonts w:ascii="Calibri" w:eastAsia="Times New Roman" w:hAnsi="Calibri" w:cs="Calibri"/>
                <w:sz w:val="16"/>
                <w:szCs w:val="16"/>
                <w:lang w:val="en-US"/>
              </w:rPr>
              <w:t xml:space="preserve"> the Act No. 222/2004 Coll. on VAT, as amended</w:t>
            </w:r>
            <w:r w:rsidRPr="009E2454">
              <w:rPr>
                <w:rFonts w:ascii="Calibri" w:eastAsia="Times New Roman" w:hAnsi="Calibri" w:cs="Calibri"/>
                <w:sz w:val="16"/>
                <w:szCs w:val="16"/>
                <w:lang w:val="en-US"/>
              </w:rPr>
              <w:t xml:space="preserve">, and the Tenant shall pay such VAT. </w:t>
            </w:r>
            <w:r>
              <w:rPr>
                <w:rFonts w:ascii="Calibri" w:eastAsia="Times New Roman" w:hAnsi="Calibri" w:cs="Calibri"/>
                <w:sz w:val="16"/>
                <w:szCs w:val="16"/>
                <w:lang w:val="en-US"/>
              </w:rPr>
              <w:t xml:space="preserve">In the event </w:t>
            </w:r>
            <w:r>
              <w:rPr>
                <w:rFonts w:ascii="Calibri" w:eastAsia="Times New Roman" w:hAnsi="Calibri" w:cs="Calibri"/>
                <w:sz w:val="16"/>
                <w:szCs w:val="16"/>
                <w:lang w:val="en-US"/>
              </w:rPr>
              <w:lastRenderedPageBreak/>
              <w:t>that the Tenant becomes a taxable person or cease to be a taxable person according to the provision § 3 of the Act No. 222/2004 Coll. on VAT, as amended, he is obliged to inform the Lessor this circumstance within 15 days.</w:t>
            </w:r>
          </w:p>
        </w:tc>
        <w:tc>
          <w:tcPr>
            <w:tcW w:w="4649" w:type="dxa"/>
          </w:tcPr>
          <w:p w14:paraId="3FE16E6F" w14:textId="77777777" w:rsidR="00432CAD" w:rsidRPr="009E2454" w:rsidRDefault="00432CAD" w:rsidP="002F2988">
            <w:pPr>
              <w:numPr>
                <w:ilvl w:val="0"/>
                <w:numId w:val="10"/>
              </w:numPr>
              <w:tabs>
                <w:tab w:val="clear" w:pos="720"/>
                <w:tab w:val="num" w:pos="341"/>
              </w:tabs>
              <w:spacing w:before="120"/>
              <w:ind w:left="341" w:hanging="341"/>
              <w:rPr>
                <w:rFonts w:ascii="Calibri" w:eastAsia="Times New Roman" w:hAnsi="Calibri" w:cs="Calibri"/>
                <w:b/>
                <w:sz w:val="16"/>
                <w:szCs w:val="16"/>
                <w:u w:val="single"/>
              </w:rPr>
            </w:pPr>
            <w:r w:rsidRPr="009E2454">
              <w:rPr>
                <w:rFonts w:ascii="Calibri" w:eastAsia="Times New Roman" w:hAnsi="Calibri" w:cs="Calibri"/>
                <w:b/>
                <w:sz w:val="16"/>
                <w:szCs w:val="16"/>
                <w:u w:val="single"/>
              </w:rPr>
              <w:lastRenderedPageBreak/>
              <w:t>DPH.</w:t>
            </w:r>
            <w:r w:rsidRPr="009E2454">
              <w:rPr>
                <w:rFonts w:ascii="Calibri" w:eastAsia="Times New Roman" w:hAnsi="Calibri" w:cs="Calibri"/>
                <w:sz w:val="16"/>
                <w:szCs w:val="16"/>
              </w:rPr>
              <w:t xml:space="preserve"> Nájomca </w:t>
            </w:r>
            <w:r>
              <w:rPr>
                <w:rFonts w:ascii="Calibri" w:eastAsia="Times New Roman" w:hAnsi="Calibri" w:cs="Calibri"/>
                <w:sz w:val="16"/>
                <w:szCs w:val="16"/>
              </w:rPr>
              <w:t xml:space="preserve">berie na vedomie, že </w:t>
            </w:r>
            <w:r w:rsidRPr="009E2454">
              <w:rPr>
                <w:rFonts w:ascii="Calibri" w:eastAsia="Times New Roman" w:hAnsi="Calibri" w:cs="Calibri"/>
                <w:sz w:val="16"/>
                <w:szCs w:val="16"/>
              </w:rPr>
              <w:t xml:space="preserve">Prenajímateľ bude účtovať DPH k Nájomnému a všetkým ostatným splatným čiastkam podľa Zmluvy v rozsahu v akom to dovoľuje </w:t>
            </w:r>
            <w:r w:rsidRPr="00F43DF8">
              <w:rPr>
                <w:rFonts w:ascii="Calibri" w:eastAsia="Times New Roman" w:hAnsi="Calibri" w:cs="Calibri"/>
                <w:sz w:val="16"/>
                <w:szCs w:val="16"/>
              </w:rPr>
              <w:t>zákon č. 222/2004 Z.z. o DPH, v platnom a účinnom znení</w:t>
            </w:r>
            <w:r w:rsidRPr="009E2454">
              <w:rPr>
                <w:rFonts w:ascii="Calibri" w:eastAsia="Times New Roman" w:hAnsi="Calibri" w:cs="Calibri"/>
                <w:sz w:val="16"/>
                <w:szCs w:val="16"/>
              </w:rPr>
              <w:t xml:space="preserve"> a Nájomca </w:t>
            </w:r>
            <w:r w:rsidRPr="009E2454">
              <w:rPr>
                <w:rFonts w:ascii="Calibri" w:eastAsia="Times New Roman" w:hAnsi="Calibri" w:cs="Calibri"/>
                <w:sz w:val="16"/>
                <w:szCs w:val="16"/>
              </w:rPr>
              <w:lastRenderedPageBreak/>
              <w:t xml:space="preserve">bude takúto DPH platiť. </w:t>
            </w:r>
            <w:r>
              <w:rPr>
                <w:rFonts w:ascii="Calibri" w:eastAsia="Times New Roman" w:hAnsi="Calibri" w:cs="Calibri"/>
                <w:sz w:val="16"/>
                <w:szCs w:val="16"/>
              </w:rPr>
              <w:t xml:space="preserve">V prípade, ak sa Nájomca v priebehu Doby nájmu stane alebo prestane byť zdaniteľnou osobou podľa § 3 zákona </w:t>
            </w:r>
            <w:r w:rsidRPr="00F43DF8">
              <w:rPr>
                <w:rFonts w:ascii="Calibri" w:eastAsia="Times New Roman" w:hAnsi="Calibri" w:cs="Calibri"/>
                <w:sz w:val="16"/>
                <w:szCs w:val="16"/>
              </w:rPr>
              <w:t>č. 222/2004 Z.z. o DPH, v platnom a účinnom znení</w:t>
            </w:r>
            <w:r>
              <w:rPr>
                <w:rFonts w:ascii="Calibri" w:eastAsia="Times New Roman" w:hAnsi="Calibri" w:cs="Calibri"/>
                <w:sz w:val="16"/>
                <w:szCs w:val="16"/>
              </w:rPr>
              <w:t xml:space="preserve">, je povinný o tejto skutočnosti Prenajímateľa informovať najneskôr do 15 dní. </w:t>
            </w:r>
          </w:p>
        </w:tc>
      </w:tr>
      <w:tr w:rsidR="00432CAD" w:rsidRPr="009E2454" w14:paraId="5D08BFF8" w14:textId="77777777" w:rsidTr="002F2988">
        <w:tc>
          <w:tcPr>
            <w:tcW w:w="4649" w:type="dxa"/>
          </w:tcPr>
          <w:p w14:paraId="7B445F80" w14:textId="77777777" w:rsidR="00432CAD" w:rsidRPr="009E2454" w:rsidRDefault="00432CAD" w:rsidP="002F2988">
            <w:pPr>
              <w:numPr>
                <w:ilvl w:val="0"/>
                <w:numId w:val="5"/>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lastRenderedPageBreak/>
              <w:t>Default Interest.</w:t>
            </w:r>
            <w:r w:rsidRPr="009E2454">
              <w:rPr>
                <w:rFonts w:ascii="Calibri" w:eastAsia="Times New Roman" w:hAnsi="Calibri" w:cs="Calibri"/>
                <w:sz w:val="16"/>
                <w:szCs w:val="16"/>
                <w:lang w:val="en-US"/>
              </w:rPr>
              <w:t xml:space="preserve"> If the Tenant fails to pay the Rent or any other amount payable to the Lessor on time, the Tenant agrees to pay default interest at </w:t>
            </w:r>
            <w:r>
              <w:rPr>
                <w:rFonts w:ascii="Calibri" w:eastAsia="Times New Roman" w:hAnsi="Calibri" w:cs="Calibri"/>
                <w:sz w:val="16"/>
                <w:szCs w:val="16"/>
                <w:lang w:val="en-US"/>
              </w:rPr>
              <w:t xml:space="preserve">the </w:t>
            </w:r>
            <w:r w:rsidRPr="009E2454">
              <w:rPr>
                <w:rFonts w:ascii="Calibri" w:eastAsia="Times New Roman" w:hAnsi="Calibri" w:cs="Calibri"/>
                <w:sz w:val="16"/>
                <w:szCs w:val="16"/>
                <w:lang w:val="en-US"/>
              </w:rPr>
              <w:t>rate</w:t>
            </w:r>
            <w:r>
              <w:rPr>
                <w:rFonts w:ascii="Calibri" w:eastAsia="Times New Roman" w:hAnsi="Calibri" w:cs="Calibri"/>
                <w:sz w:val="16"/>
                <w:szCs w:val="16"/>
                <w:lang w:val="en-US"/>
              </w:rPr>
              <w:t xml:space="preserve"> 0,05 % per day from due amount.</w:t>
            </w:r>
            <w:r w:rsidRPr="009E2454">
              <w:rPr>
                <w:rFonts w:ascii="Calibri" w:eastAsia="Times New Roman" w:hAnsi="Calibri" w:cs="Calibri"/>
                <w:sz w:val="16"/>
                <w:szCs w:val="16"/>
                <w:lang w:val="en-US"/>
              </w:rPr>
              <w:t>.</w:t>
            </w:r>
            <w:r w:rsidRPr="009E2454">
              <w:rPr>
                <w:rFonts w:ascii="Calibri" w:eastAsia="Times New Roman" w:hAnsi="Calibri" w:cs="Calibri"/>
                <w:sz w:val="16"/>
                <w:szCs w:val="16"/>
                <w:lang w:val="en-US"/>
              </w:rPr>
              <w:tab/>
            </w:r>
          </w:p>
        </w:tc>
        <w:tc>
          <w:tcPr>
            <w:tcW w:w="4649" w:type="dxa"/>
          </w:tcPr>
          <w:p w14:paraId="09109AA1" w14:textId="77777777" w:rsidR="00432CAD" w:rsidRPr="009E2454" w:rsidRDefault="00432CAD" w:rsidP="002F2988">
            <w:pPr>
              <w:numPr>
                <w:ilvl w:val="0"/>
                <w:numId w:val="10"/>
              </w:numPr>
              <w:tabs>
                <w:tab w:val="num" w:pos="391"/>
              </w:tabs>
              <w:spacing w:before="120"/>
              <w:ind w:left="391"/>
              <w:rPr>
                <w:rFonts w:ascii="Calibri" w:eastAsia="Times New Roman" w:hAnsi="Calibri" w:cs="Calibri"/>
                <w:b/>
                <w:sz w:val="16"/>
                <w:szCs w:val="16"/>
                <w:u w:val="single"/>
              </w:rPr>
            </w:pPr>
            <w:r w:rsidRPr="009E2454">
              <w:rPr>
                <w:rFonts w:ascii="Calibri" w:eastAsia="MS Mincho" w:hAnsi="Calibri" w:cs="Calibri"/>
                <w:b/>
                <w:color w:val="000000"/>
                <w:sz w:val="16"/>
                <w:szCs w:val="16"/>
                <w:u w:val="single"/>
              </w:rPr>
              <w:t>Úrok z omeškania</w:t>
            </w:r>
            <w:r w:rsidRPr="009E2454">
              <w:rPr>
                <w:rFonts w:ascii="Calibri" w:eastAsia="Times New Roman" w:hAnsi="Calibri" w:cs="Calibri"/>
                <w:b/>
                <w:sz w:val="16"/>
                <w:szCs w:val="16"/>
                <w:u w:val="single"/>
              </w:rPr>
              <w:t>.</w:t>
            </w:r>
            <w:r w:rsidRPr="009E2454">
              <w:rPr>
                <w:rFonts w:ascii="Calibri" w:eastAsia="Times New Roman" w:hAnsi="Calibri" w:cs="Calibri"/>
                <w:sz w:val="16"/>
                <w:szCs w:val="16"/>
              </w:rPr>
              <w:t xml:space="preserve"> Ak Nájomca nezaplatí Nájomné alebo akúkoľvek inú splatnú sumu Prenajímateľovi včas, Nájomca zaplatí úrok z</w:t>
            </w:r>
            <w:r>
              <w:rPr>
                <w:rFonts w:ascii="Calibri" w:eastAsia="Times New Roman" w:hAnsi="Calibri" w:cs="Calibri"/>
                <w:sz w:val="16"/>
                <w:szCs w:val="16"/>
              </w:rPr>
              <w:t> </w:t>
            </w:r>
            <w:r w:rsidRPr="009E2454">
              <w:rPr>
                <w:rFonts w:ascii="Calibri" w:eastAsia="Times New Roman" w:hAnsi="Calibri" w:cs="Calibri"/>
                <w:sz w:val="16"/>
                <w:szCs w:val="16"/>
              </w:rPr>
              <w:t>omeškania</w:t>
            </w:r>
            <w:r>
              <w:rPr>
                <w:rFonts w:ascii="Calibri" w:eastAsia="Times New Roman" w:hAnsi="Calibri" w:cs="Calibri"/>
                <w:sz w:val="16"/>
                <w:szCs w:val="16"/>
              </w:rPr>
              <w:t xml:space="preserve"> vo výške 0,05% denne z dlžnej sumy</w:t>
            </w:r>
            <w:r w:rsidRPr="009E2454">
              <w:rPr>
                <w:rFonts w:ascii="Calibri" w:eastAsia="Times New Roman" w:hAnsi="Calibri" w:cs="Calibri"/>
                <w:sz w:val="16"/>
                <w:szCs w:val="16"/>
              </w:rPr>
              <w:t>.</w:t>
            </w:r>
          </w:p>
        </w:tc>
      </w:tr>
      <w:tr w:rsidR="00432CAD" w:rsidRPr="009E2454" w14:paraId="38BE0134" w14:textId="77777777" w:rsidTr="002F2988">
        <w:tc>
          <w:tcPr>
            <w:tcW w:w="4649" w:type="dxa"/>
          </w:tcPr>
          <w:p w14:paraId="33B970C0" w14:textId="77777777" w:rsidR="00432CAD" w:rsidRPr="009E2454" w:rsidRDefault="00432CAD" w:rsidP="002F2988">
            <w:pPr>
              <w:numPr>
                <w:ilvl w:val="0"/>
                <w:numId w:val="5"/>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Deposit.</w:t>
            </w:r>
            <w:r w:rsidRPr="009E2454">
              <w:rPr>
                <w:rFonts w:ascii="Calibri" w:eastAsia="Times New Roman" w:hAnsi="Calibri" w:cs="Calibri"/>
                <w:sz w:val="16"/>
                <w:szCs w:val="16"/>
                <w:lang w:val="en-US"/>
              </w:rPr>
              <w:t xml:space="preserve"> The Deposit shall be held by the Lessor for the Term, without liability for interest, as a security for the performance by the Tenant of all the terms and conditions under the Agreement</w:t>
            </w:r>
            <w:r>
              <w:rPr>
                <w:rFonts w:ascii="Calibri" w:eastAsia="Times New Roman" w:hAnsi="Calibri" w:cs="Calibri"/>
                <w:sz w:val="16"/>
                <w:szCs w:val="16"/>
                <w:lang w:val="en-US"/>
              </w:rPr>
              <w:t xml:space="preserve"> and the Agreement on the subscription of parking space</w:t>
            </w:r>
            <w:r w:rsidRPr="009E2454">
              <w:rPr>
                <w:rFonts w:ascii="Calibri" w:eastAsia="Times New Roman" w:hAnsi="Calibri" w:cs="Calibri"/>
                <w:sz w:val="16"/>
                <w:szCs w:val="16"/>
                <w:lang w:val="en-US"/>
              </w:rPr>
              <w:t>. If at any time during the Term the Tenant fails to make any payment due under the Agreement</w:t>
            </w:r>
            <w:r>
              <w:rPr>
                <w:rFonts w:ascii="Calibri" w:eastAsia="Times New Roman" w:hAnsi="Calibri" w:cs="Calibri"/>
                <w:sz w:val="16"/>
                <w:szCs w:val="16"/>
                <w:lang w:val="en-US"/>
              </w:rPr>
              <w:t xml:space="preserve"> and/or under the Agreement on the subscription of parking space</w:t>
            </w:r>
            <w:r w:rsidRPr="009E2454">
              <w:rPr>
                <w:rFonts w:ascii="Calibri" w:eastAsia="Times New Roman" w:hAnsi="Calibri" w:cs="Calibri"/>
                <w:sz w:val="16"/>
                <w:szCs w:val="16"/>
                <w:lang w:val="en-US"/>
              </w:rPr>
              <w:t xml:space="preserve">, then the Lessor may apply any portion of the Deposit to the payment for any sums due and the Tenant shall pay to the Lessor promptly, but in no event later than within fifteen (15) calendar days, the amount so applied so that the Deposit will at all times be not less than the amount stated in the Agreement. In case of the termination of the Agreement and the satisfaction of all of the Tenant’s obligations hereunder, the Lessor shall return to the Tenant any remaining portion of the Deposit upon the expiry of </w:t>
            </w:r>
            <w:r>
              <w:rPr>
                <w:rFonts w:ascii="Calibri" w:eastAsia="Times New Roman" w:hAnsi="Calibri" w:cs="Calibri"/>
                <w:sz w:val="16"/>
                <w:szCs w:val="16"/>
                <w:lang w:val="en-US"/>
              </w:rPr>
              <w:t>fifteen</w:t>
            </w:r>
            <w:r w:rsidRPr="009E2454">
              <w:rPr>
                <w:rFonts w:ascii="Calibri" w:eastAsia="Times New Roman" w:hAnsi="Calibri" w:cs="Calibri"/>
                <w:sz w:val="16"/>
                <w:szCs w:val="16"/>
                <w:lang w:val="en-US"/>
              </w:rPr>
              <w:t xml:space="preserve"> (</w:t>
            </w:r>
            <w:r>
              <w:rPr>
                <w:rFonts w:ascii="Calibri" w:eastAsia="Times New Roman" w:hAnsi="Calibri" w:cs="Calibri"/>
                <w:sz w:val="16"/>
                <w:szCs w:val="16"/>
                <w:lang w:val="en-US"/>
              </w:rPr>
              <w:t>15</w:t>
            </w:r>
            <w:r w:rsidRPr="009E2454">
              <w:rPr>
                <w:rFonts w:ascii="Calibri" w:eastAsia="Times New Roman" w:hAnsi="Calibri" w:cs="Calibri"/>
                <w:sz w:val="16"/>
                <w:szCs w:val="16"/>
                <w:lang w:val="en-US"/>
              </w:rPr>
              <w:t xml:space="preserve">) calendar day period after the date of termination. </w:t>
            </w:r>
            <w:r>
              <w:rPr>
                <w:rFonts w:ascii="Calibri" w:eastAsia="Times New Roman" w:hAnsi="Calibri" w:cs="Calibri"/>
                <w:sz w:val="16"/>
                <w:szCs w:val="16"/>
                <w:lang w:val="en-US"/>
              </w:rPr>
              <w:tab/>
            </w:r>
            <w:r>
              <w:rPr>
                <w:rFonts w:ascii="Calibri" w:eastAsia="Times New Roman" w:hAnsi="Calibri" w:cs="Calibri"/>
                <w:sz w:val="16"/>
                <w:szCs w:val="16"/>
                <w:lang w:val="en-US"/>
              </w:rPr>
              <w:br/>
            </w:r>
            <w:r w:rsidRPr="009E2454">
              <w:rPr>
                <w:rFonts w:ascii="Calibri" w:eastAsia="Times New Roman" w:hAnsi="Calibri" w:cs="Calibri"/>
                <w:sz w:val="16"/>
                <w:szCs w:val="16"/>
                <w:lang w:val="en-US"/>
              </w:rPr>
              <w:t>The Tenant may replace the Deposit by an unconditional, irrevocable and payable at first call bank guarantee provided by a</w:t>
            </w:r>
            <w:r>
              <w:rPr>
                <w:rFonts w:ascii="Calibri" w:eastAsia="Times New Roman" w:hAnsi="Calibri" w:cs="Calibri"/>
                <w:sz w:val="16"/>
                <w:szCs w:val="16"/>
                <w:lang w:val="en-US"/>
              </w:rPr>
              <w:t xml:space="preserve"> bank or by a branch of a foreign bank operating in Slovak republic</w:t>
            </w:r>
            <w:r w:rsidRPr="009E2454">
              <w:rPr>
                <w:rFonts w:ascii="Calibri" w:eastAsia="Times New Roman" w:hAnsi="Calibri" w:cs="Calibri"/>
                <w:sz w:val="16"/>
                <w:szCs w:val="16"/>
                <w:lang w:val="en-US"/>
              </w:rPr>
              <w:t>.</w:t>
            </w:r>
          </w:p>
        </w:tc>
        <w:tc>
          <w:tcPr>
            <w:tcW w:w="4649" w:type="dxa"/>
          </w:tcPr>
          <w:p w14:paraId="6C273F8D" w14:textId="77777777" w:rsidR="00432CAD" w:rsidRPr="009E2454" w:rsidRDefault="00432CAD" w:rsidP="002F2988">
            <w:pPr>
              <w:numPr>
                <w:ilvl w:val="0"/>
                <w:numId w:val="10"/>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Zábezpeka.</w:t>
            </w:r>
            <w:r w:rsidRPr="009E2454">
              <w:rPr>
                <w:rFonts w:ascii="Calibri" w:eastAsia="Times New Roman" w:hAnsi="Calibri" w:cs="Calibri"/>
                <w:sz w:val="16"/>
                <w:szCs w:val="16"/>
              </w:rPr>
              <w:t xml:space="preserve"> Zábezpeka bude zložená na účte Prenajímateľa počas celej Doby nájmu, bez zodpovednosti za úrok, ako záruka Nájomcu za splnenie všetkých povinností podľa Zmluvy</w:t>
            </w:r>
            <w:r>
              <w:rPr>
                <w:rFonts w:ascii="Calibri" w:eastAsia="Times New Roman" w:hAnsi="Calibri" w:cs="Calibri"/>
                <w:sz w:val="16"/>
                <w:szCs w:val="16"/>
              </w:rPr>
              <w:t xml:space="preserve"> a Zmluvy o predplatení parkovacieho miesta</w:t>
            </w:r>
            <w:r w:rsidRPr="009E2454">
              <w:rPr>
                <w:rFonts w:ascii="Calibri" w:eastAsia="Times New Roman" w:hAnsi="Calibri" w:cs="Calibri"/>
                <w:sz w:val="16"/>
                <w:szCs w:val="16"/>
              </w:rPr>
              <w:t>. Ak kedykoľvek počas trvania Doby nájmu Nájomca nezaplatí niektorú platbu v súlade so Zmluvou</w:t>
            </w:r>
            <w:r>
              <w:rPr>
                <w:rFonts w:ascii="Calibri" w:eastAsia="Times New Roman" w:hAnsi="Calibri" w:cs="Calibri"/>
                <w:sz w:val="16"/>
                <w:szCs w:val="16"/>
              </w:rPr>
              <w:t xml:space="preserve"> a/alebo Zmluvou o predplatení parkovacieho miesta</w:t>
            </w:r>
            <w:r w:rsidRPr="009E2454">
              <w:rPr>
                <w:rFonts w:ascii="Calibri" w:eastAsia="Times New Roman" w:hAnsi="Calibri" w:cs="Calibri"/>
                <w:sz w:val="16"/>
                <w:szCs w:val="16"/>
              </w:rPr>
              <w:t xml:space="preserve">, Prenajímateľ má právo podľa svojej voľby, započítať akúkoľvek časť Zábezpeky na úhradu takýchto splatných súm a Nájomca zaplatí Prenajímateľovi okamžite, nie však neskôr ako do pätnástich (15) kalendárnych dní, takto použitú časť Zábezpeky tak, aby táto nikdy neklesla pod sumu uvedenú v Zmluve. V prípade ukončenia Zmluvy a splnenia všetkých povinností Nájomcu z nej vyplývajúcich Prenajímateľ vráti Nájomcovi zostatok Zábezpeky po uplynutí </w:t>
            </w:r>
            <w:r>
              <w:rPr>
                <w:rFonts w:ascii="Calibri" w:eastAsia="Times New Roman" w:hAnsi="Calibri" w:cs="Calibri"/>
                <w:sz w:val="16"/>
                <w:szCs w:val="16"/>
              </w:rPr>
              <w:t xml:space="preserve">pätnástich </w:t>
            </w:r>
            <w:r w:rsidRPr="009E2454">
              <w:rPr>
                <w:rFonts w:ascii="Calibri" w:eastAsia="Times New Roman" w:hAnsi="Calibri" w:cs="Calibri"/>
                <w:sz w:val="16"/>
                <w:szCs w:val="16"/>
              </w:rPr>
              <w:t>(</w:t>
            </w:r>
            <w:r>
              <w:rPr>
                <w:rFonts w:ascii="Calibri" w:eastAsia="Times New Roman" w:hAnsi="Calibri" w:cs="Calibri"/>
                <w:sz w:val="16"/>
                <w:szCs w:val="16"/>
              </w:rPr>
              <w:t>15</w:t>
            </w:r>
            <w:r w:rsidRPr="009E2454">
              <w:rPr>
                <w:rFonts w:ascii="Calibri" w:eastAsia="Times New Roman" w:hAnsi="Calibri" w:cs="Calibri"/>
                <w:sz w:val="16"/>
                <w:szCs w:val="16"/>
              </w:rPr>
              <w:t>) kalendárnych dní odo dňa ukončenia Zmluvy.</w:t>
            </w:r>
            <w:r>
              <w:rPr>
                <w:rFonts w:ascii="Calibri" w:eastAsia="Times New Roman" w:hAnsi="Calibri" w:cs="Calibri"/>
                <w:sz w:val="16"/>
                <w:szCs w:val="16"/>
              </w:rPr>
              <w:tab/>
            </w:r>
            <w:r>
              <w:rPr>
                <w:rFonts w:ascii="Calibri" w:eastAsia="Times New Roman" w:hAnsi="Calibri" w:cs="Calibri"/>
                <w:sz w:val="16"/>
                <w:szCs w:val="16"/>
              </w:rPr>
              <w:br/>
            </w:r>
            <w:r w:rsidRPr="009E2454">
              <w:rPr>
                <w:rFonts w:ascii="Calibri" w:eastAsia="Times New Roman" w:hAnsi="Calibri" w:cs="Calibri"/>
                <w:sz w:val="16"/>
                <w:szCs w:val="16"/>
              </w:rPr>
              <w:t>Nájomca môže kedykoľvek počas Doby nájmu vymeniť Zábezpeku za bezpodmienečnú neodvolateľnú a na prvú výzvu splatnú bankovú záruku vystavenú bankou</w:t>
            </w:r>
            <w:r>
              <w:rPr>
                <w:rFonts w:ascii="Calibri" w:eastAsia="Times New Roman" w:hAnsi="Calibri" w:cs="Calibri"/>
                <w:sz w:val="16"/>
                <w:szCs w:val="16"/>
              </w:rPr>
              <w:t xml:space="preserve"> alebo pobočkou zahraničnej banky pôsobiacou v Slovenskej republike</w:t>
            </w:r>
            <w:r w:rsidRPr="009E2454">
              <w:rPr>
                <w:rFonts w:ascii="Calibri" w:eastAsia="Times New Roman" w:hAnsi="Calibri" w:cs="Calibri"/>
                <w:sz w:val="16"/>
                <w:szCs w:val="16"/>
              </w:rPr>
              <w:t>.</w:t>
            </w:r>
          </w:p>
        </w:tc>
      </w:tr>
      <w:tr w:rsidR="00432CAD" w:rsidRPr="009E2454" w14:paraId="195E012A" w14:textId="77777777" w:rsidTr="002F2988">
        <w:tc>
          <w:tcPr>
            <w:tcW w:w="4649" w:type="dxa"/>
          </w:tcPr>
          <w:p w14:paraId="6C4100D4" w14:textId="77777777" w:rsidR="00432CAD" w:rsidRPr="009E2454" w:rsidRDefault="00432CAD" w:rsidP="002F2988">
            <w:pPr>
              <w:numPr>
                <w:ilvl w:val="0"/>
                <w:numId w:val="5"/>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Default.</w:t>
            </w:r>
            <w:r w:rsidRPr="009E2454">
              <w:rPr>
                <w:rFonts w:ascii="Calibri" w:eastAsia="Times New Roman" w:hAnsi="Calibri" w:cs="Calibri"/>
                <w:sz w:val="16"/>
                <w:szCs w:val="16"/>
                <w:lang w:val="en-US"/>
              </w:rPr>
              <w:t xml:space="preserve"> In case of breach of any of the Tenant’s obligations under the Agreement, in addition to other remedies under the Agreement, the Lessor shall be entitled to a contractual penalty amounting to 100 EUR per each day in delay or per each default with the respective obligation until its due fulfillment or per each breach of an obligation, as the case may be </w:t>
            </w:r>
            <w:r>
              <w:rPr>
                <w:rFonts w:ascii="Calibri" w:eastAsia="Times New Roman" w:hAnsi="Calibri" w:cs="Calibri"/>
                <w:sz w:val="16"/>
                <w:szCs w:val="16"/>
                <w:lang w:val="en-US"/>
              </w:rPr>
              <w:t>and to</w:t>
            </w:r>
            <w:r w:rsidRPr="009E2454">
              <w:rPr>
                <w:rFonts w:ascii="Calibri" w:eastAsia="Times New Roman" w:hAnsi="Calibri" w:cs="Calibri"/>
                <w:sz w:val="16"/>
                <w:szCs w:val="16"/>
                <w:lang w:val="en-US"/>
              </w:rPr>
              <w:t xml:space="preserve"> rescind the Agreement with immediate effect upon delivery of the notice of such rescindment to the Tenant.</w:t>
            </w:r>
            <w:r>
              <w:rPr>
                <w:rFonts w:ascii="Calibri" w:eastAsia="Times New Roman" w:hAnsi="Calibri" w:cs="Calibri"/>
                <w:sz w:val="16"/>
                <w:szCs w:val="16"/>
                <w:lang w:val="en-US"/>
              </w:rPr>
              <w:t xml:space="preserve"> Contractual penalty is due on the date of delivery of the request for its payment.</w:t>
            </w:r>
          </w:p>
        </w:tc>
        <w:tc>
          <w:tcPr>
            <w:tcW w:w="4649" w:type="dxa"/>
          </w:tcPr>
          <w:p w14:paraId="14C9B629" w14:textId="77777777" w:rsidR="00432CAD" w:rsidRPr="009E2454" w:rsidRDefault="00432CAD" w:rsidP="002F2988">
            <w:pPr>
              <w:numPr>
                <w:ilvl w:val="0"/>
                <w:numId w:val="10"/>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Porušenie.</w:t>
            </w:r>
            <w:r w:rsidRPr="009E2454">
              <w:rPr>
                <w:rFonts w:ascii="Calibri" w:eastAsia="Times New Roman" w:hAnsi="Calibri" w:cs="Calibri"/>
                <w:sz w:val="16"/>
                <w:szCs w:val="16"/>
              </w:rPr>
              <w:t xml:space="preserve"> V prípade Nájomcovho porušenia akýchkoľvek jeho povinností podľa Zmluvy, okrem ďalších práv podľa Zmluvy, má Prenajímateľ právo na zmluvnú pokutu vo výške 100 EUR za každý deň oneskorenia príslušnej povinnosti až do jej splnenia alebo za každé porušenie povinnosti podľa situácie </w:t>
            </w:r>
            <w:r>
              <w:rPr>
                <w:rFonts w:ascii="Calibri" w:eastAsia="Times New Roman" w:hAnsi="Calibri" w:cs="Calibri"/>
                <w:sz w:val="16"/>
                <w:szCs w:val="16"/>
              </w:rPr>
              <w:t>a právo</w:t>
            </w:r>
            <w:r w:rsidRPr="009E2454">
              <w:rPr>
                <w:rFonts w:ascii="Calibri" w:eastAsia="Times New Roman" w:hAnsi="Calibri" w:cs="Calibri"/>
                <w:sz w:val="16"/>
                <w:szCs w:val="16"/>
              </w:rPr>
              <w:t xml:space="preserve"> odstúpiť od Zmluvy s okamžitým účinkom doručením odstúpenia Nájomcovi.</w:t>
            </w:r>
            <w:r>
              <w:rPr>
                <w:rFonts w:ascii="Calibri" w:eastAsia="Times New Roman" w:hAnsi="Calibri" w:cs="Calibri"/>
                <w:sz w:val="16"/>
                <w:szCs w:val="16"/>
              </w:rPr>
              <w:t xml:space="preserve"> Zmluvná pokuta je splatná dňom doručenia výzvy na jej úhradu. </w:t>
            </w:r>
          </w:p>
        </w:tc>
      </w:tr>
      <w:tr w:rsidR="00432CAD" w:rsidRPr="009E2454" w14:paraId="1CB760A8" w14:textId="77777777" w:rsidTr="002F2988">
        <w:tc>
          <w:tcPr>
            <w:tcW w:w="4649" w:type="dxa"/>
          </w:tcPr>
          <w:p w14:paraId="465F5990" w14:textId="77777777" w:rsidR="00432CAD" w:rsidRPr="009E2454" w:rsidRDefault="00432CAD" w:rsidP="002F2988">
            <w:pPr>
              <w:keepNext/>
              <w:spacing w:before="120"/>
              <w:jc w:val="center"/>
              <w:outlineLvl w:val="0"/>
              <w:rPr>
                <w:rFonts w:ascii="Calibri" w:eastAsia="Times New Roman" w:hAnsi="Calibri" w:cs="Calibri"/>
                <w:b/>
                <w:bCs/>
                <w:caps/>
                <w:sz w:val="16"/>
                <w:szCs w:val="16"/>
                <w:lang w:val="en-US"/>
              </w:rPr>
            </w:pPr>
            <w:r w:rsidRPr="009E2454">
              <w:rPr>
                <w:rFonts w:ascii="Calibri" w:eastAsia="Times New Roman" w:hAnsi="Calibri" w:cs="Calibri"/>
                <w:b/>
                <w:bCs/>
                <w:caps/>
                <w:sz w:val="16"/>
                <w:szCs w:val="16"/>
                <w:lang w:val="en-US"/>
              </w:rPr>
              <w:t>III. Rights and Duties of the Parties</w:t>
            </w:r>
          </w:p>
        </w:tc>
        <w:tc>
          <w:tcPr>
            <w:tcW w:w="4649" w:type="dxa"/>
          </w:tcPr>
          <w:p w14:paraId="52FBB0B8" w14:textId="77777777" w:rsidR="00432CAD" w:rsidRPr="009E2454" w:rsidRDefault="00432CAD" w:rsidP="002F2988">
            <w:pPr>
              <w:keepNext/>
              <w:spacing w:before="120"/>
              <w:jc w:val="center"/>
              <w:outlineLvl w:val="0"/>
              <w:rPr>
                <w:rFonts w:ascii="Calibri" w:eastAsia="Times New Roman" w:hAnsi="Calibri" w:cs="Calibri"/>
                <w:b/>
                <w:bCs/>
                <w:caps/>
                <w:sz w:val="16"/>
                <w:szCs w:val="16"/>
              </w:rPr>
            </w:pPr>
            <w:r w:rsidRPr="009E2454">
              <w:rPr>
                <w:rFonts w:ascii="Calibri" w:eastAsia="Times New Roman" w:hAnsi="Calibri" w:cs="Calibri"/>
                <w:b/>
                <w:bCs/>
                <w:caps/>
                <w:sz w:val="16"/>
                <w:szCs w:val="16"/>
              </w:rPr>
              <w:t>III. Práva a povinnosti strán</w:t>
            </w:r>
          </w:p>
        </w:tc>
      </w:tr>
      <w:tr w:rsidR="00432CAD" w:rsidRPr="009E2454" w14:paraId="6D345DC3" w14:textId="77777777" w:rsidTr="002F2988">
        <w:tc>
          <w:tcPr>
            <w:tcW w:w="4649" w:type="dxa"/>
          </w:tcPr>
          <w:p w14:paraId="4203D064"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Assignment and Subletting.</w:t>
            </w:r>
            <w:r w:rsidRPr="009E2454">
              <w:rPr>
                <w:rFonts w:ascii="Calibri" w:eastAsia="Times New Roman" w:hAnsi="Calibri" w:cs="Calibri"/>
                <w:sz w:val="16"/>
                <w:szCs w:val="16"/>
                <w:lang w:val="en-US"/>
              </w:rPr>
              <w:t xml:space="preserve"> The Tenant may not assign the Agreement or sublet the Premises without prior written consent of the Lessor. </w:t>
            </w:r>
            <w:r w:rsidRPr="009E2454">
              <w:rPr>
                <w:rFonts w:ascii="Calibri" w:eastAsia="Times New Roman" w:hAnsi="Calibri" w:cs="Calibri"/>
                <w:sz w:val="16"/>
                <w:szCs w:val="16"/>
                <w:lang w:val="en-US"/>
              </w:rPr>
              <w:tab/>
            </w:r>
          </w:p>
        </w:tc>
        <w:tc>
          <w:tcPr>
            <w:tcW w:w="4649" w:type="dxa"/>
          </w:tcPr>
          <w:p w14:paraId="275E717C"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Prevod a podnájom.</w:t>
            </w:r>
            <w:r w:rsidRPr="009E2454">
              <w:rPr>
                <w:rFonts w:ascii="Calibri" w:eastAsia="Times New Roman" w:hAnsi="Calibri" w:cs="Calibri"/>
                <w:sz w:val="16"/>
                <w:szCs w:val="16"/>
              </w:rPr>
              <w:t xml:space="preserve"> Nájomca nesmie previesť Zmluvu alebo dať Priestory do podnájmu bez predchádzajúceho písomného súhlasu Prenajímateľa.</w:t>
            </w:r>
          </w:p>
        </w:tc>
      </w:tr>
      <w:tr w:rsidR="00432CAD" w:rsidRPr="009E2454" w14:paraId="0B400D86" w14:textId="77777777" w:rsidTr="002F2988">
        <w:tc>
          <w:tcPr>
            <w:tcW w:w="4649" w:type="dxa"/>
          </w:tcPr>
          <w:p w14:paraId="0CFDF921"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Tenant Improvements.</w:t>
            </w:r>
            <w:r w:rsidRPr="009E2454">
              <w:rPr>
                <w:rFonts w:ascii="Calibri" w:eastAsia="Times New Roman" w:hAnsi="Calibri" w:cs="Calibri"/>
                <w:sz w:val="16"/>
                <w:szCs w:val="16"/>
                <w:lang w:val="en-US"/>
              </w:rPr>
              <w:t xml:space="preserve"> Any changes, improvements or alterations to the Premises, including, but not limited to, bringing telecom and internet or other cabling to the Premises or common parts of Building, by the Tenant, may be performed only with a prior written consent of the Lessor, in which the Lessor will stipulate conditions for the performance of such alterations and at exclusive expenses of the Tenant. The Lessor shall not be liable for any payment for any changes, improvements or alterations to the Premises by the Tenant, notwithstanding Section 667 of Act No. 40/1964 Coll., the Civil Code, as amended (“</w:t>
            </w:r>
            <w:r w:rsidRPr="009E2454">
              <w:rPr>
                <w:rFonts w:ascii="Calibri" w:eastAsia="Times New Roman" w:hAnsi="Calibri" w:cs="Calibri"/>
                <w:b/>
                <w:sz w:val="16"/>
                <w:szCs w:val="16"/>
                <w:u w:val="single"/>
                <w:lang w:val="en-US"/>
              </w:rPr>
              <w:t>Civil Code</w:t>
            </w:r>
            <w:r w:rsidRPr="009E2454">
              <w:rPr>
                <w:rFonts w:ascii="Calibri" w:eastAsia="Times New Roman" w:hAnsi="Calibri" w:cs="Calibri"/>
                <w:sz w:val="16"/>
                <w:szCs w:val="16"/>
                <w:lang w:val="en-US"/>
              </w:rPr>
              <w:t>”), whether during or after the expiration of the Term.</w:t>
            </w:r>
            <w:r>
              <w:t xml:space="preserve"> </w:t>
            </w:r>
            <w:r w:rsidRPr="005278B8">
              <w:rPr>
                <w:rFonts w:asciiTheme="minorHAnsi" w:hAnsiTheme="minorHAnsi"/>
                <w:sz w:val="16"/>
                <w:szCs w:val="16"/>
              </w:rPr>
              <w:t>Changes, improvements or modifications of the Premises made w</w:t>
            </w:r>
            <w:r w:rsidRPr="005278B8">
              <w:rPr>
                <w:rFonts w:asciiTheme="minorHAnsi" w:eastAsia="Times New Roman" w:hAnsiTheme="minorHAnsi" w:cs="Calibri"/>
                <w:sz w:val="16"/>
                <w:szCs w:val="16"/>
                <w:lang w:val="en-US"/>
              </w:rPr>
              <w:t xml:space="preserve">ith the consent of the Lessor shall be </w:t>
            </w:r>
            <w:r>
              <w:rPr>
                <w:rFonts w:asciiTheme="minorHAnsi" w:eastAsia="Times New Roman" w:hAnsiTheme="minorHAnsi" w:cs="Calibri"/>
                <w:sz w:val="16"/>
                <w:szCs w:val="16"/>
                <w:lang w:val="en-US"/>
              </w:rPr>
              <w:t xml:space="preserve">handover </w:t>
            </w:r>
            <w:r w:rsidRPr="005278B8">
              <w:rPr>
                <w:rFonts w:asciiTheme="minorHAnsi" w:eastAsia="Times New Roman" w:hAnsiTheme="minorHAnsi" w:cs="Calibri"/>
                <w:sz w:val="16"/>
                <w:szCs w:val="16"/>
                <w:lang w:val="en-US"/>
              </w:rPr>
              <w:t xml:space="preserve">free of charge to the </w:t>
            </w:r>
            <w:r>
              <w:rPr>
                <w:rFonts w:asciiTheme="minorHAnsi" w:eastAsia="Times New Roman" w:hAnsiTheme="minorHAnsi" w:cs="Calibri"/>
                <w:sz w:val="16"/>
                <w:szCs w:val="16"/>
                <w:lang w:val="en-US"/>
              </w:rPr>
              <w:t xml:space="preserve">Lessor </w:t>
            </w:r>
            <w:r w:rsidRPr="005278B8">
              <w:rPr>
                <w:rFonts w:asciiTheme="minorHAnsi" w:eastAsia="Times New Roman" w:hAnsiTheme="minorHAnsi" w:cs="Calibri"/>
                <w:sz w:val="16"/>
                <w:szCs w:val="16"/>
                <w:lang w:val="en-US"/>
              </w:rPr>
              <w:t>upon termination of the</w:t>
            </w:r>
            <w:r>
              <w:rPr>
                <w:rFonts w:asciiTheme="minorHAnsi" w:eastAsia="Times New Roman" w:hAnsiTheme="minorHAnsi" w:cs="Calibri"/>
                <w:sz w:val="16"/>
                <w:szCs w:val="16"/>
                <w:lang w:val="en-US"/>
              </w:rPr>
              <w:t xml:space="preserve"> Agreement. The rights of Tenant to</w:t>
            </w:r>
            <w:r w:rsidRPr="005278B8">
              <w:rPr>
                <w:rFonts w:asciiTheme="minorHAnsi" w:eastAsia="Times New Roman" w:hAnsiTheme="minorHAnsi" w:cs="Calibri"/>
                <w:sz w:val="16"/>
                <w:szCs w:val="16"/>
                <w:lang w:val="en-US"/>
              </w:rPr>
              <w:t xml:space="preserve"> </w:t>
            </w:r>
            <w:r>
              <w:rPr>
                <w:rFonts w:asciiTheme="minorHAnsi" w:eastAsia="Times New Roman" w:hAnsiTheme="minorHAnsi" w:cs="Calibri"/>
                <w:sz w:val="16"/>
                <w:szCs w:val="16"/>
                <w:lang w:val="en-US"/>
              </w:rPr>
              <w:t xml:space="preserve">write off made </w:t>
            </w:r>
            <w:r>
              <w:rPr>
                <w:rFonts w:asciiTheme="minorHAnsi" w:hAnsiTheme="minorHAnsi"/>
                <w:sz w:val="16"/>
                <w:szCs w:val="16"/>
              </w:rPr>
              <w:t>c</w:t>
            </w:r>
            <w:r w:rsidRPr="005278B8">
              <w:rPr>
                <w:rFonts w:asciiTheme="minorHAnsi" w:hAnsiTheme="minorHAnsi"/>
                <w:sz w:val="16"/>
                <w:szCs w:val="16"/>
              </w:rPr>
              <w:t>hanges, improvements or modifications of the Premises</w:t>
            </w:r>
            <w:r>
              <w:rPr>
                <w:rFonts w:asciiTheme="minorHAnsi" w:hAnsiTheme="minorHAnsi"/>
                <w:sz w:val="16"/>
                <w:szCs w:val="16"/>
              </w:rPr>
              <w:t>,</w:t>
            </w:r>
            <w:r>
              <w:rPr>
                <w:rFonts w:asciiTheme="minorHAnsi" w:eastAsia="Times New Roman" w:hAnsiTheme="minorHAnsi" w:cs="Calibri"/>
                <w:sz w:val="16"/>
                <w:szCs w:val="16"/>
                <w:lang w:val="en-US"/>
              </w:rPr>
              <w:t xml:space="preserve"> </w:t>
            </w:r>
            <w:r w:rsidRPr="005278B8">
              <w:rPr>
                <w:rFonts w:asciiTheme="minorHAnsi" w:eastAsia="Times New Roman" w:hAnsiTheme="minorHAnsi" w:cs="Calibri"/>
                <w:sz w:val="16"/>
                <w:szCs w:val="16"/>
                <w:lang w:val="en-US"/>
              </w:rPr>
              <w:t>for the</w:t>
            </w:r>
            <w:r>
              <w:rPr>
                <w:rFonts w:asciiTheme="minorHAnsi" w:eastAsia="Times New Roman" w:hAnsiTheme="minorHAnsi" w:cs="Calibri"/>
                <w:sz w:val="16"/>
                <w:szCs w:val="16"/>
                <w:lang w:val="en-US"/>
              </w:rPr>
              <w:t xml:space="preserve"> Term of Agreement,</w:t>
            </w:r>
            <w:r w:rsidRPr="005278B8">
              <w:rPr>
                <w:rFonts w:asciiTheme="minorHAnsi" w:eastAsia="Times New Roman" w:hAnsiTheme="minorHAnsi" w:cs="Calibri"/>
                <w:sz w:val="16"/>
                <w:szCs w:val="16"/>
                <w:lang w:val="en-US"/>
              </w:rPr>
              <w:t xml:space="preserve"> is not affected.</w:t>
            </w:r>
          </w:p>
        </w:tc>
        <w:tc>
          <w:tcPr>
            <w:tcW w:w="4649" w:type="dxa"/>
          </w:tcPr>
          <w:p w14:paraId="064B2110" w14:textId="77777777" w:rsidR="00432CAD" w:rsidRPr="009E2454" w:rsidRDefault="00432CAD" w:rsidP="002F2988">
            <w:pPr>
              <w:numPr>
                <w:ilvl w:val="0"/>
                <w:numId w:val="11"/>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Nájomcove zhodnotenia.</w:t>
            </w:r>
            <w:r w:rsidRPr="009E2454">
              <w:rPr>
                <w:rFonts w:ascii="Calibri" w:eastAsia="Times New Roman" w:hAnsi="Calibri" w:cs="Calibri"/>
                <w:sz w:val="16"/>
                <w:szCs w:val="16"/>
              </w:rPr>
              <w:t xml:space="preserve"> Akékoľvek zmeny, vylepšenia alebo úpravy Priestorov, vrátane, ale nielen, telekomunikačného pripojenia alebo internetu alebo inej kabeláže do Priestorov alebo spoločných častí Budovy Nájomcom, môžu byť uskutočnené iba s predchádzajúcim písomným súhlasom Prenajímateľa, v ktorom Prenajímateľ určí podmienky pre realizáciu týchto úprav a na výlučné náklady Nájomcu. Prenajímateľ nie je povinný platiť žiadne zmeny, vylepšenia alebo úpravy Priestorov Nájomcom, bez ohľadu na § 667 zákona č. 40/1964 Zb. </w:t>
            </w:r>
            <w:r>
              <w:rPr>
                <w:rFonts w:ascii="Calibri" w:eastAsia="Times New Roman" w:hAnsi="Calibri" w:cs="Calibri"/>
                <w:sz w:val="16"/>
                <w:szCs w:val="16"/>
              </w:rPr>
              <w:t>O</w:t>
            </w:r>
            <w:r w:rsidRPr="009E2454">
              <w:rPr>
                <w:rFonts w:ascii="Calibri" w:eastAsia="Times New Roman" w:hAnsi="Calibri" w:cs="Calibri"/>
                <w:sz w:val="16"/>
                <w:szCs w:val="16"/>
              </w:rPr>
              <w:t>bčiansky zákonník v platnom a účinnom znení („</w:t>
            </w:r>
            <w:r w:rsidRPr="009E2454">
              <w:rPr>
                <w:rFonts w:ascii="Calibri" w:eastAsia="Times New Roman" w:hAnsi="Calibri" w:cs="Calibri"/>
                <w:b/>
                <w:sz w:val="16"/>
                <w:szCs w:val="16"/>
                <w:u w:val="single"/>
              </w:rPr>
              <w:t>Občiansky zákonník</w:t>
            </w:r>
            <w:r w:rsidRPr="009E2454">
              <w:rPr>
                <w:rFonts w:ascii="Calibri" w:eastAsia="Times New Roman" w:hAnsi="Calibri" w:cs="Calibri"/>
                <w:sz w:val="16"/>
                <w:szCs w:val="16"/>
              </w:rPr>
              <w:t>“), či už počas Doby nájmu alebo po jej ukončení.</w:t>
            </w:r>
            <w:r>
              <w:rPr>
                <w:rFonts w:ascii="Calibri" w:eastAsia="Times New Roman" w:hAnsi="Calibri" w:cs="Calibri"/>
                <w:sz w:val="16"/>
                <w:szCs w:val="16"/>
              </w:rPr>
              <w:t xml:space="preserve"> So súhlasom Prenajímateľa vykonané zmeny, vylepšenia alebo úpravy Priestorov sa stanú bezodplatne vlastníctvom Prenajímateľa dňom skončenia Doby nájmu. Právo Nájomcu vykonané zmeny, vylepšenia alebo úpravy Priestorov účtovne odpisovať v súlade s príslušnými právnymi predpismi po dobu trvania Doby nájmu tým nie je dotknuté. </w:t>
            </w:r>
          </w:p>
        </w:tc>
      </w:tr>
      <w:tr w:rsidR="00432CAD" w:rsidRPr="009E2454" w14:paraId="74F4D352" w14:textId="77777777" w:rsidTr="002F2988">
        <w:tc>
          <w:tcPr>
            <w:tcW w:w="4649" w:type="dxa"/>
          </w:tcPr>
          <w:p w14:paraId="335395B0"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lastRenderedPageBreak/>
              <w:t>Repairs and Maintenance.</w:t>
            </w:r>
            <w:r w:rsidRPr="009E2454">
              <w:rPr>
                <w:rFonts w:ascii="Calibri" w:eastAsia="Times New Roman" w:hAnsi="Calibri" w:cs="Calibri"/>
                <w:sz w:val="16"/>
                <w:szCs w:val="16"/>
                <w:lang w:val="en-US"/>
              </w:rPr>
              <w:t xml:space="preserve"> </w:t>
            </w:r>
            <w:r w:rsidRPr="009E2454">
              <w:rPr>
                <w:rFonts w:ascii="Calibri" w:eastAsia="Times New Roman" w:hAnsi="Calibri" w:cs="Calibri"/>
                <w:bCs/>
                <w:sz w:val="16"/>
                <w:szCs w:val="16"/>
                <w:lang w:val="en-US"/>
              </w:rPr>
              <w:t>The Lessor shall be responsible for the maintenance and repair of the Building structure, exterior walls, floor, roof, exterior doors and entrances, and the exterior paved common areas, common security infrastructure, common fences and gates. The Tenant shall be responsible, at its sole cost, for ordinary maintenance of the Premises, its demising walls and equipment, systems and facilities therein, including interior doors and windows within the Premises, and all electrical, mechanical, plumbing within the Premises (i.e., from the connection points), heating, ventilating, air conditioning, security, fire prevention and sprinkler systems, and equipment, if any, installed in the Premises. The Lessor shall be responsible for other than ordinary maintenance and all repairs of the Premises. The Tenant shall be, however, always liable for any damage of the systems/equipment or repairs thereof needed due to inappropriate use of such systems/equipment by the Tenant (or any person in the Premises). The Lessor shall have no obligation with respect to the maintenance and repair of any equipment or improvements installed in the Premises by the Tenant or paid for by the Tenant.</w:t>
            </w:r>
          </w:p>
        </w:tc>
        <w:tc>
          <w:tcPr>
            <w:tcW w:w="4649" w:type="dxa"/>
          </w:tcPr>
          <w:p w14:paraId="28A249C5"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sidRPr="009E2454">
              <w:rPr>
                <w:rFonts w:ascii="Calibri" w:eastAsia="MS Mincho" w:hAnsi="Calibri" w:cs="Calibri"/>
                <w:b/>
                <w:sz w:val="16"/>
                <w:szCs w:val="16"/>
                <w:u w:val="single"/>
              </w:rPr>
              <w:t>Opravy a údržba.</w:t>
            </w:r>
            <w:r w:rsidRPr="009E2454">
              <w:rPr>
                <w:rFonts w:ascii="Calibri" w:eastAsia="MS Mincho" w:hAnsi="Calibri" w:cs="Calibri"/>
                <w:sz w:val="16"/>
                <w:szCs w:val="16"/>
              </w:rPr>
              <w:t xml:space="preserve"> </w:t>
            </w:r>
            <w:r w:rsidRPr="009E2454">
              <w:rPr>
                <w:rFonts w:ascii="Calibri" w:eastAsia="MS Mincho" w:hAnsi="Calibri" w:cs="Calibri"/>
                <w:bCs/>
                <w:sz w:val="16"/>
                <w:szCs w:val="16"/>
              </w:rPr>
              <w:t>Prenajímateľ zodpovedá za údržbu a opravy konštrukcie Budovy, vonkajších stien, podláh, strechy, exteriérových dverí a vstupov a vonkajších spoločných spevnených plôch, spoločnej bezpečnostnej infraštruktúry, spoločných plotov a brán. Nájomca je povinný, výlučne na svoje náklady, vykonávať bežnú údržbu Priestorov, ich vymedzujúcich stien a zariadení, systémov a príslušenstva v nich, vrátane interiérových dverí a okien v rámci Priestorov a všetkých elektrických, mechanických, kanalizačných rozvodov v rámci Priestorov (tzn. od miesta pripojenia), kúrenie, vetranie, vzduchotechniku, bezpečnostné, protipožiarne a hasiace systémy a zariadenia inštalované v Priestoroch, ak sú nejaké. Prenajímateľ zodpovedá za inú ako bežnú údržbu a všetky opravy Priestorov. Nájomca je však vždy zodpovedný za akékoľvek poškodenie a potrebné opravy systémov/zariadení, ktoré vzniknú ich nesprávnym používaním Nájomcom (alebo inými osobami v Priestoroch). Prenajímateľ nemá žiadne povinnosti s ohľadom na údržbu a opravy zariadení alebo vylepšení inštalovaných alebo uhradených Nájomcom v Priestoroch.</w:t>
            </w:r>
          </w:p>
        </w:tc>
      </w:tr>
      <w:tr w:rsidR="00432CAD" w:rsidRPr="009E2454" w14:paraId="232D4338" w14:textId="77777777" w:rsidTr="002F2988">
        <w:tc>
          <w:tcPr>
            <w:tcW w:w="4649" w:type="dxa"/>
          </w:tcPr>
          <w:p w14:paraId="6F5BD8F0" w14:textId="77777777" w:rsidR="00432CAD" w:rsidRPr="009E2454" w:rsidRDefault="00432CAD" w:rsidP="002F2988">
            <w:pPr>
              <w:numPr>
                <w:ilvl w:val="0"/>
                <w:numId w:val="6"/>
              </w:numPr>
              <w:spacing w:before="120"/>
              <w:rPr>
                <w:rFonts w:ascii="Calibri" w:eastAsia="Times New Roman" w:hAnsi="Calibri" w:cs="Calibri"/>
                <w:b/>
                <w:sz w:val="16"/>
                <w:szCs w:val="16"/>
                <w:u w:val="single"/>
                <w:lang w:val="en-US"/>
              </w:rPr>
            </w:pPr>
            <w:r w:rsidRPr="009E2454">
              <w:rPr>
                <w:rFonts w:ascii="Calibri" w:eastAsia="Times New Roman" w:hAnsi="Calibri" w:cs="Calibri"/>
                <w:b/>
                <w:sz w:val="16"/>
                <w:szCs w:val="16"/>
                <w:u w:val="single"/>
                <w:lang w:val="en-US"/>
              </w:rPr>
              <w:t>Cleaning.</w:t>
            </w:r>
            <w:r w:rsidRPr="009E2454">
              <w:rPr>
                <w:rFonts w:ascii="Calibri" w:eastAsia="Times New Roman" w:hAnsi="Calibri" w:cs="Calibri"/>
                <w:sz w:val="16"/>
                <w:szCs w:val="16"/>
                <w:lang w:val="en-US"/>
              </w:rPr>
              <w:t xml:space="preserve"> The Lessor shall be responsible, at its own costs, for cleaning of the Premises and of the common parts of the Building</w:t>
            </w:r>
            <w:r>
              <w:rPr>
                <w:rFonts w:ascii="Calibri" w:eastAsia="Times New Roman" w:hAnsi="Calibri" w:cs="Calibri"/>
                <w:sz w:val="16"/>
                <w:szCs w:val="16"/>
                <w:lang w:val="en-US"/>
              </w:rPr>
              <w:t xml:space="preserve"> in terms of: </w:t>
            </w:r>
            <w:r w:rsidRPr="005278B8">
              <w:rPr>
                <w:rFonts w:ascii="Calibri" w:eastAsia="Times New Roman" w:hAnsi="Calibri" w:cs="Calibri"/>
                <w:sz w:val="16"/>
                <w:szCs w:val="16"/>
                <w:lang w:val="en-US"/>
              </w:rPr>
              <w:t xml:space="preserve">cleaning </w:t>
            </w:r>
            <w:r>
              <w:rPr>
                <w:rFonts w:ascii="Calibri" w:eastAsia="Times New Roman" w:hAnsi="Calibri" w:cs="Calibri"/>
                <w:sz w:val="16"/>
                <w:szCs w:val="16"/>
                <w:lang w:val="en-US"/>
              </w:rPr>
              <w:t xml:space="preserve">of </w:t>
            </w:r>
            <w:r w:rsidRPr="005278B8">
              <w:rPr>
                <w:rFonts w:ascii="Calibri" w:eastAsia="Times New Roman" w:hAnsi="Calibri" w:cs="Calibri"/>
                <w:sz w:val="16"/>
                <w:szCs w:val="16"/>
                <w:lang w:val="en-US"/>
              </w:rPr>
              <w:t>the office space 3 times a week</w:t>
            </w:r>
            <w:r>
              <w:rPr>
                <w:rFonts w:ascii="Calibri" w:eastAsia="Times New Roman" w:hAnsi="Calibri" w:cs="Calibri"/>
                <w:sz w:val="16"/>
                <w:szCs w:val="16"/>
                <w:lang w:val="en-US"/>
              </w:rPr>
              <w:t>,</w:t>
            </w:r>
            <w:r w:rsidRPr="005278B8">
              <w:rPr>
                <w:rFonts w:ascii="Calibri" w:eastAsia="Times New Roman" w:hAnsi="Calibri" w:cs="Calibri"/>
                <w:sz w:val="16"/>
                <w:szCs w:val="16"/>
                <w:lang w:val="en-US"/>
              </w:rPr>
              <w:t xml:space="preserve"> cleaning of common areas 5 times a week.</w:t>
            </w:r>
          </w:p>
        </w:tc>
        <w:tc>
          <w:tcPr>
            <w:tcW w:w="4649" w:type="dxa"/>
          </w:tcPr>
          <w:p w14:paraId="319E5B9C" w14:textId="77777777" w:rsidR="00432CAD" w:rsidRPr="009E2454" w:rsidRDefault="00432CAD" w:rsidP="002F2988">
            <w:pPr>
              <w:numPr>
                <w:ilvl w:val="0"/>
                <w:numId w:val="11"/>
              </w:numPr>
              <w:tabs>
                <w:tab w:val="num" w:pos="391"/>
              </w:tabs>
              <w:spacing w:before="120"/>
              <w:ind w:left="391"/>
              <w:rPr>
                <w:rFonts w:ascii="Calibri" w:eastAsia="MS Mincho" w:hAnsi="Calibri" w:cs="Calibri"/>
                <w:b/>
                <w:sz w:val="16"/>
                <w:szCs w:val="16"/>
                <w:u w:val="single"/>
              </w:rPr>
            </w:pPr>
            <w:r w:rsidRPr="009E2454">
              <w:rPr>
                <w:rFonts w:ascii="Calibri" w:eastAsia="MS Mincho" w:hAnsi="Calibri" w:cs="Calibri"/>
                <w:b/>
                <w:sz w:val="16"/>
                <w:szCs w:val="16"/>
                <w:u w:val="single"/>
              </w:rPr>
              <w:t>Upratovanie.</w:t>
            </w:r>
            <w:r w:rsidRPr="009E2454">
              <w:rPr>
                <w:rFonts w:ascii="Calibri" w:eastAsia="MS Mincho" w:hAnsi="Calibri" w:cs="Calibri"/>
                <w:sz w:val="16"/>
                <w:szCs w:val="16"/>
              </w:rPr>
              <w:t xml:space="preserve"> Za upratovanie Priestorov, ako aj spoločných častí Budovy zodpovedá Prenajímateľ na vlastné náklady</w:t>
            </w:r>
            <w:r>
              <w:rPr>
                <w:rFonts w:ascii="Calibri" w:eastAsia="MS Mincho" w:hAnsi="Calibri" w:cs="Calibri"/>
                <w:sz w:val="16"/>
                <w:szCs w:val="16"/>
              </w:rPr>
              <w:t xml:space="preserve"> v rozsahu: upratovanie kancelárskych priestorov 3x týždenne, upratovanie spoločných priestorov 5x týždenne.</w:t>
            </w:r>
          </w:p>
        </w:tc>
      </w:tr>
      <w:tr w:rsidR="00432CAD" w:rsidRPr="009E2454" w14:paraId="0D6CB221" w14:textId="77777777" w:rsidTr="002F2988">
        <w:tc>
          <w:tcPr>
            <w:tcW w:w="4649" w:type="dxa"/>
          </w:tcPr>
          <w:p w14:paraId="1A788321"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Compliance with Regulations.</w:t>
            </w:r>
            <w:r w:rsidRPr="009E2454">
              <w:rPr>
                <w:rFonts w:ascii="Calibri" w:eastAsia="Times New Roman" w:hAnsi="Calibri" w:cs="Calibri"/>
                <w:sz w:val="16"/>
                <w:szCs w:val="16"/>
                <w:lang w:val="en-US"/>
              </w:rPr>
              <w:t xml:space="preserve"> The Tenant shall comply with all relevant legal regulations, including ordinances, statutes, laws, orders, rules and decisions. The Tenant shall use the Premises and perform all of its business activities in compliance with the regulations of the Lessor, including but not limited to its security regulations and procedures. The Lessor shall deliver the current regulations of the Lessor to the Tenant at Handover. The Lessor may, from time to time, update or modify such regulations of the Lessor, which the Lessor shall </w:t>
            </w:r>
            <w:r>
              <w:rPr>
                <w:rFonts w:ascii="Calibri" w:eastAsia="Times New Roman" w:hAnsi="Calibri" w:cs="Calibri"/>
                <w:sz w:val="16"/>
                <w:szCs w:val="16"/>
                <w:lang w:val="en-US"/>
              </w:rPr>
              <w:t xml:space="preserve">sent </w:t>
            </w:r>
            <w:r w:rsidRPr="009E2454">
              <w:rPr>
                <w:rFonts w:ascii="Calibri" w:eastAsia="Times New Roman" w:hAnsi="Calibri" w:cs="Calibri"/>
                <w:sz w:val="16"/>
                <w:szCs w:val="16"/>
                <w:lang w:val="en-US"/>
              </w:rPr>
              <w:t xml:space="preserve">to the Tenant by </w:t>
            </w:r>
            <w:r>
              <w:rPr>
                <w:rFonts w:ascii="Calibri" w:eastAsia="Times New Roman" w:hAnsi="Calibri" w:cs="Calibri"/>
                <w:sz w:val="16"/>
                <w:szCs w:val="16"/>
                <w:lang w:val="en-US"/>
              </w:rPr>
              <w:t xml:space="preserve">receipt. </w:t>
            </w:r>
          </w:p>
        </w:tc>
        <w:tc>
          <w:tcPr>
            <w:tcW w:w="4649" w:type="dxa"/>
          </w:tcPr>
          <w:p w14:paraId="1C4B3CEB" w14:textId="77777777" w:rsidR="00432CAD" w:rsidRPr="009E2454" w:rsidRDefault="00432CAD" w:rsidP="002F2988">
            <w:pPr>
              <w:numPr>
                <w:ilvl w:val="0"/>
                <w:numId w:val="11"/>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Dodržiavanie predpisov.</w:t>
            </w:r>
            <w:r w:rsidRPr="009E2454">
              <w:rPr>
                <w:rFonts w:ascii="Calibri" w:eastAsia="Times New Roman" w:hAnsi="Calibri" w:cs="Calibri"/>
                <w:sz w:val="16"/>
                <w:szCs w:val="16"/>
              </w:rPr>
              <w:t xml:space="preserve"> Nájomca bude dodržiavať všetky príslušné zákony a iné príslušné predpisy, vrátane vyhlášok, nariadení, rozhodnutí a smerníc. Nájomca bude používať Priestory na prevádzku svojej obchodnej činnosti v súlade so smernicami Prenajímateľa, vrátane avšak nielen s </w:t>
            </w:r>
            <w:r w:rsidRPr="009E2454">
              <w:rPr>
                <w:rFonts w:ascii="Calibri" w:eastAsia="MS Mincho" w:hAnsi="Calibri" w:cs="Calibri"/>
                <w:sz w:val="16"/>
                <w:szCs w:val="16"/>
              </w:rPr>
              <w:t>bezpečnostnými</w:t>
            </w:r>
            <w:r w:rsidRPr="009E2454">
              <w:rPr>
                <w:rFonts w:ascii="Calibri" w:eastAsia="Times New Roman" w:hAnsi="Calibri" w:cs="Calibri"/>
                <w:sz w:val="16"/>
                <w:szCs w:val="16"/>
              </w:rPr>
              <w:t xml:space="preserve"> smernicami a postupmi. Súčasné smernice Prenajímateľa odovzdá Prenajímateľ Nájomcovi pri Odovzdaní. Prenajímateľ môže, z času na čas, aktualizovať alebo meniť, čo Prenajímateľ oznámi Nájomcovi </w:t>
            </w:r>
            <w:r>
              <w:rPr>
                <w:rFonts w:ascii="Calibri" w:eastAsia="Times New Roman" w:hAnsi="Calibri" w:cs="Calibri"/>
                <w:sz w:val="16"/>
                <w:szCs w:val="16"/>
              </w:rPr>
              <w:t>doručením  s potvrdením prijatia</w:t>
            </w:r>
            <w:r w:rsidRPr="009E2454">
              <w:rPr>
                <w:rFonts w:ascii="Calibri" w:eastAsia="Times New Roman" w:hAnsi="Calibri" w:cs="Calibri"/>
                <w:sz w:val="16"/>
                <w:szCs w:val="16"/>
              </w:rPr>
              <w:t>.</w:t>
            </w:r>
          </w:p>
        </w:tc>
      </w:tr>
      <w:tr w:rsidR="00432CAD" w:rsidRPr="009E2454" w14:paraId="19399911" w14:textId="77777777" w:rsidTr="002F2988">
        <w:tc>
          <w:tcPr>
            <w:tcW w:w="4649" w:type="dxa"/>
          </w:tcPr>
          <w:p w14:paraId="1DFA5CA7" w14:textId="77777777" w:rsidR="00432CAD" w:rsidRPr="00EE1FCF" w:rsidRDefault="00432CAD" w:rsidP="002F2988">
            <w:pPr>
              <w:numPr>
                <w:ilvl w:val="0"/>
                <w:numId w:val="6"/>
              </w:numPr>
              <w:spacing w:before="120"/>
              <w:rPr>
                <w:rFonts w:asciiTheme="minorHAnsi" w:eastAsia="Times New Roman" w:hAnsiTheme="minorHAnsi" w:cs="Calibri"/>
                <w:sz w:val="16"/>
                <w:szCs w:val="16"/>
                <w:lang w:val="en-US"/>
              </w:rPr>
            </w:pPr>
            <w:r w:rsidRPr="00EE1FCF">
              <w:rPr>
                <w:rFonts w:asciiTheme="minorHAnsi" w:eastAsia="Times New Roman" w:hAnsiTheme="minorHAnsi" w:cs="Calibri"/>
                <w:b/>
                <w:sz w:val="16"/>
                <w:szCs w:val="16"/>
                <w:u w:val="single"/>
                <w:lang w:val="en-US"/>
              </w:rPr>
              <w:t>Prohibition of Disorders.</w:t>
            </w:r>
            <w:r w:rsidRPr="00EE1FCF">
              <w:rPr>
                <w:rFonts w:asciiTheme="minorHAnsi" w:eastAsia="Times New Roman" w:hAnsiTheme="minorHAnsi" w:cs="Calibri"/>
                <w:sz w:val="16"/>
                <w:szCs w:val="16"/>
                <w:lang w:val="en-US"/>
              </w:rPr>
              <w:t xml:space="preserve"> The Tenant will not use, permit or suffer to be used, the Premises for any disorderly or unlawful purpose and shall not interfere with the use and enjoyment of any other tenant. The Tenant shall assure that the Premises are not visited by undesirables. The Tenant shall assure that the visitors of the Premises will not cause any disturbance in Building or in its proximity. The Tenant shall not engage or permit or suffer any visitors of the Premises to engage in any noisy activity. </w:t>
            </w:r>
          </w:p>
        </w:tc>
        <w:tc>
          <w:tcPr>
            <w:tcW w:w="4649" w:type="dxa"/>
          </w:tcPr>
          <w:p w14:paraId="28C14325" w14:textId="77777777" w:rsidR="00432CAD" w:rsidRPr="00EE1FCF" w:rsidRDefault="00432CAD" w:rsidP="002F2988">
            <w:pPr>
              <w:numPr>
                <w:ilvl w:val="0"/>
                <w:numId w:val="11"/>
              </w:numPr>
              <w:tabs>
                <w:tab w:val="num" w:pos="391"/>
              </w:tabs>
              <w:spacing w:before="120"/>
              <w:ind w:left="391"/>
              <w:rPr>
                <w:rFonts w:asciiTheme="minorHAnsi" w:eastAsia="Times New Roman" w:hAnsiTheme="minorHAnsi" w:cs="Calibri"/>
                <w:sz w:val="16"/>
                <w:szCs w:val="16"/>
              </w:rPr>
            </w:pPr>
            <w:r w:rsidRPr="00EE1FCF">
              <w:rPr>
                <w:rFonts w:asciiTheme="minorHAnsi" w:eastAsia="Times New Roman" w:hAnsiTheme="minorHAnsi" w:cs="Calibri"/>
                <w:b/>
                <w:sz w:val="16"/>
                <w:szCs w:val="16"/>
                <w:u w:val="single"/>
              </w:rPr>
              <w:t>Zákaz rušenia verejného poriadku.</w:t>
            </w:r>
            <w:r w:rsidRPr="00EE1FCF">
              <w:rPr>
                <w:rFonts w:asciiTheme="minorHAnsi" w:eastAsia="Times New Roman" w:hAnsiTheme="minorHAnsi" w:cs="Calibri"/>
                <w:sz w:val="16"/>
                <w:szCs w:val="16"/>
              </w:rPr>
              <w:t xml:space="preserve"> Nájomca nebude užívať, nedovolí alebo nebude trpieť užívanie Priestorov za účelom rušenia verejného poriadku alebo na nezákonné účely a nebude zasahovať do užívania iných nájomcov. Nájomca zabráni vstupu neželaných osôb do Priestorov. Nájomca zaručí, aby návštevníci Priestorov nenarúšali Budovu alebo jej okolie. Nájomca nebude vykonávať a ani nedovolí návštevníkom Priestorov vykonávanie akýchkoľvek hlučných aktivít. </w:t>
            </w:r>
          </w:p>
        </w:tc>
      </w:tr>
      <w:tr w:rsidR="00432CAD" w:rsidRPr="009E2454" w14:paraId="70A2E9B4" w14:textId="77777777" w:rsidTr="002F2988">
        <w:tc>
          <w:tcPr>
            <w:tcW w:w="4649" w:type="dxa"/>
          </w:tcPr>
          <w:p w14:paraId="51B1E49C" w14:textId="77777777" w:rsidR="00432CAD" w:rsidRPr="00EE1FCF" w:rsidRDefault="00432CAD" w:rsidP="002F2988">
            <w:pPr>
              <w:numPr>
                <w:ilvl w:val="0"/>
                <w:numId w:val="6"/>
              </w:numPr>
              <w:spacing w:before="120"/>
              <w:rPr>
                <w:rFonts w:asciiTheme="minorHAnsi" w:eastAsia="Times New Roman" w:hAnsiTheme="minorHAnsi" w:cs="Calibri"/>
                <w:sz w:val="16"/>
                <w:szCs w:val="16"/>
                <w:lang w:val="en-US"/>
              </w:rPr>
            </w:pPr>
            <w:r w:rsidRPr="00EE1FCF">
              <w:rPr>
                <w:rFonts w:asciiTheme="minorHAnsi" w:eastAsia="Times New Roman" w:hAnsiTheme="minorHAnsi" w:cs="Calibri"/>
                <w:b/>
                <w:sz w:val="16"/>
                <w:szCs w:val="16"/>
                <w:u w:val="single"/>
                <w:lang w:val="en-US"/>
              </w:rPr>
              <w:t>Fire Protection.</w:t>
            </w:r>
            <w:r w:rsidRPr="00EE1FCF">
              <w:rPr>
                <w:rFonts w:asciiTheme="minorHAnsi" w:eastAsia="Times New Roman" w:hAnsiTheme="minorHAnsi" w:cs="Calibri"/>
                <w:sz w:val="16"/>
                <w:szCs w:val="16"/>
                <w:lang w:val="en-US"/>
              </w:rPr>
              <w:t xml:space="preserve"> </w:t>
            </w:r>
            <w:r w:rsidRPr="00EE1FCF">
              <w:rPr>
                <w:rFonts w:asciiTheme="minorHAnsi" w:hAnsiTheme="minorHAnsi"/>
                <w:sz w:val="16"/>
                <w:szCs w:val="16"/>
                <w:lang w:val="en-US"/>
              </w:rPr>
              <w:t>The Tenant assumes liability and has to observe for all obligations arising from legal regulations in the field of fire protection, in accordance with which he will use the Premises. The Tenant is obliged to participate on checking of measures imposed in the fire alarm guidelines and in the fire evacuation plan including by means of practice fire alarm at least once a year.</w:t>
            </w:r>
            <w:r w:rsidRPr="00EE1FCF">
              <w:rPr>
                <w:rFonts w:asciiTheme="minorHAnsi" w:hAnsiTheme="minorHAnsi"/>
                <w:lang w:val="en-US"/>
              </w:rPr>
              <w:t xml:space="preserve"> </w:t>
            </w:r>
            <w:r w:rsidRPr="00EE1FCF">
              <w:rPr>
                <w:rFonts w:asciiTheme="minorHAnsi" w:hAnsiTheme="minorHAnsi"/>
                <w:sz w:val="16"/>
                <w:szCs w:val="16"/>
                <w:lang w:val="en-US"/>
              </w:rPr>
              <w:t xml:space="preserve">The Tenant is obliged to cooperate during establishing the common fire protection patrol in Building. Primarily the Tenant shall nominate its employee(s) to the common fire protection patrol according to the size of the Premises and the nominated employees shall be enabled to participate in the specialized training of the fire protection patrol. The Tenant shall integrate the security and safety systems for the Premises, including, without limitation, the fire protection system including sprinklers, into the security and safety systems of the Lessor maintained in Building; such integration means, </w:t>
            </w:r>
            <w:r w:rsidRPr="00EE1FCF">
              <w:rPr>
                <w:rFonts w:asciiTheme="minorHAnsi" w:hAnsiTheme="minorHAnsi"/>
                <w:i/>
                <w:iCs/>
                <w:sz w:val="16"/>
                <w:szCs w:val="16"/>
                <w:lang w:val="en-US"/>
              </w:rPr>
              <w:t>inter alia</w:t>
            </w:r>
            <w:r w:rsidRPr="00EE1FCF">
              <w:rPr>
                <w:rFonts w:asciiTheme="minorHAnsi" w:hAnsiTheme="minorHAnsi"/>
                <w:sz w:val="16"/>
                <w:szCs w:val="16"/>
                <w:lang w:val="en-US"/>
              </w:rPr>
              <w:t>, that the said systems react both on the Lessor’s system as well as the Tenant’s system.</w:t>
            </w:r>
          </w:p>
        </w:tc>
        <w:tc>
          <w:tcPr>
            <w:tcW w:w="4649" w:type="dxa"/>
          </w:tcPr>
          <w:p w14:paraId="309C20CB" w14:textId="77777777" w:rsidR="00432CAD" w:rsidRPr="00EE1FCF" w:rsidRDefault="00432CAD" w:rsidP="002F2988">
            <w:pPr>
              <w:numPr>
                <w:ilvl w:val="0"/>
                <w:numId w:val="11"/>
              </w:numPr>
              <w:tabs>
                <w:tab w:val="num" w:pos="391"/>
              </w:tabs>
              <w:spacing w:before="120"/>
              <w:ind w:left="391"/>
              <w:rPr>
                <w:rFonts w:asciiTheme="minorHAnsi" w:eastAsia="Times New Roman" w:hAnsiTheme="minorHAnsi" w:cs="Calibri"/>
                <w:sz w:val="16"/>
                <w:szCs w:val="16"/>
              </w:rPr>
            </w:pPr>
            <w:r w:rsidRPr="00EE1FCF">
              <w:rPr>
                <w:rFonts w:asciiTheme="minorHAnsi" w:eastAsia="Times New Roman" w:hAnsiTheme="minorHAnsi" w:cs="Calibri"/>
                <w:b/>
                <w:sz w:val="16"/>
                <w:szCs w:val="16"/>
                <w:u w:val="single"/>
              </w:rPr>
              <w:t>Protipožiarna ochrana.</w:t>
            </w:r>
            <w:r w:rsidRPr="00EE1FCF">
              <w:rPr>
                <w:rFonts w:asciiTheme="minorHAnsi" w:eastAsia="Times New Roman" w:hAnsiTheme="minorHAnsi" w:cs="Calibri"/>
                <w:sz w:val="16"/>
                <w:szCs w:val="16"/>
              </w:rPr>
              <w:t xml:space="preserve"> Nájomca je povinný zúčastňovať sa na kontrole opatrení uvedených v požiarnom štatúte a v požiarnom evakuačnom pláne a to vrátane formy cvičných požiarnych poplachov minimálne raz ročne. Nájomca je povinný spolupracovať pri zostavovaní spoločnej požiarnej hliadky Budovy. Nájomca predovšetkým nominuje zamestnanca(ov) do spoločnej požiarnej hliadky v súlade s rozmerom Priestorov a nominovaným zamestnancom umožní zúčastniť sa na špecializovaných školeniach požiarnej hliadky. Nájomca zakomponuje bezpečnostné a ochranné systémy Priestorov, vrátane, avšak nielen, protipožiarneho systému so samočinnými hasiacimi zariadeniami, do bezpečnostných a ochranných systémov Prenajímateľa, ktoré existujú v Budove; takáto integrácia znamená, okrem iného, že uvedené systémy reagujú na systém Prenajímateľa ako aj na systém Nájomcu.</w:t>
            </w:r>
          </w:p>
        </w:tc>
      </w:tr>
      <w:tr w:rsidR="00432CAD" w:rsidRPr="009E2454" w14:paraId="44C3028D" w14:textId="77777777" w:rsidTr="002F2988">
        <w:tc>
          <w:tcPr>
            <w:tcW w:w="4649" w:type="dxa"/>
          </w:tcPr>
          <w:p w14:paraId="34EC960D"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lastRenderedPageBreak/>
              <w:t>Smoking Prohibition.</w:t>
            </w:r>
            <w:r w:rsidRPr="009E2454">
              <w:rPr>
                <w:rFonts w:ascii="Calibri" w:eastAsia="Times New Roman" w:hAnsi="Calibri" w:cs="Calibri"/>
                <w:sz w:val="16"/>
                <w:szCs w:val="16"/>
                <w:lang w:val="en-US"/>
              </w:rPr>
              <w:t xml:space="preserve"> Smoking in the Premises is strictly forbidden. Smoking is also strictly forbidden in any common, shared and public areas, such as corridors, staircases, elevators and shared lavatories, other than areas which are specifically marked to allow smoking.</w:t>
            </w:r>
          </w:p>
        </w:tc>
        <w:tc>
          <w:tcPr>
            <w:tcW w:w="4649" w:type="dxa"/>
          </w:tcPr>
          <w:p w14:paraId="73454DB5" w14:textId="77777777" w:rsidR="00432CAD" w:rsidRPr="009E2454" w:rsidRDefault="00432CAD" w:rsidP="002F2988">
            <w:pPr>
              <w:numPr>
                <w:ilvl w:val="0"/>
                <w:numId w:val="11"/>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Zákaz fajčenia.</w:t>
            </w:r>
            <w:r w:rsidRPr="009E2454">
              <w:rPr>
                <w:rFonts w:ascii="Calibri" w:eastAsia="Times New Roman" w:hAnsi="Calibri" w:cs="Calibri"/>
                <w:sz w:val="16"/>
                <w:szCs w:val="16"/>
              </w:rPr>
              <w:t xml:space="preserve"> Fajčenie v Priestoroch je prísne zakázané. Fajčenie je taktiež prísne zakázané vo všetkých spoločných a verejných priestoroch, ako sú chodby, schodiská, výťahy a spoločné toalety s výnimkou priestorov vyznačených výslovne ako fajčiarske.</w:t>
            </w:r>
          </w:p>
        </w:tc>
      </w:tr>
      <w:tr w:rsidR="00432CAD" w:rsidRPr="009E2454" w14:paraId="4D4973C2" w14:textId="77777777" w:rsidTr="002F2988">
        <w:tc>
          <w:tcPr>
            <w:tcW w:w="4649" w:type="dxa"/>
          </w:tcPr>
          <w:p w14:paraId="0845C759"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Hazardous Substances Prohibition.</w:t>
            </w:r>
            <w:r w:rsidRPr="009E2454">
              <w:rPr>
                <w:rFonts w:ascii="Calibri" w:eastAsia="Times New Roman" w:hAnsi="Calibri" w:cs="Calibri"/>
                <w:sz w:val="16"/>
                <w:szCs w:val="16"/>
                <w:lang w:val="en-US"/>
              </w:rPr>
              <w:t xml:space="preserve"> The Tenant will not place, or permit to be placed, will not use, or permit to be used, will not maintain, or permit to be maintained, within the Premises, and will not bring, or permit to be brought, onto or within Building or the surrounding areas of Building, any hazardous substances, contaminants or pollutants, toxic substances or wastes, infectious materials, petroleum products, asbestos or asbestos- containing materials (except immaterial amounts of ordinary cleaning materials) (collectively, “</w:t>
            </w:r>
            <w:r w:rsidRPr="009E2454">
              <w:rPr>
                <w:rFonts w:ascii="Calibri" w:eastAsia="Times New Roman" w:hAnsi="Calibri" w:cs="Calibri"/>
                <w:b/>
                <w:sz w:val="16"/>
                <w:szCs w:val="16"/>
                <w:u w:val="single"/>
                <w:lang w:val="en-US"/>
              </w:rPr>
              <w:t>Hazardous Materials</w:t>
            </w:r>
            <w:r w:rsidRPr="009E2454">
              <w:rPr>
                <w:rFonts w:ascii="Calibri" w:eastAsia="Times New Roman" w:hAnsi="Calibri" w:cs="Calibri"/>
                <w:sz w:val="16"/>
                <w:szCs w:val="16"/>
                <w:lang w:val="en-US"/>
              </w:rPr>
              <w:t>”). The Tenant agrees to indemnify, defend and hold the Lessor harmless from and against any claims, suits or causes of action arising from, or connected with, any such Hazardous Materials, contamination, loss or damage. The obligations contained in this Section shall survive termination of the Agreement. In any event, the Tenant shall indemnify, and hold harmless, the Lessor against any claims resulting from damage to, or contamination of the Premises, and shall further indemnify the Lessor against any claims from third parties resulting from the presence of such Hazardous Materials.</w:t>
            </w:r>
          </w:p>
        </w:tc>
        <w:tc>
          <w:tcPr>
            <w:tcW w:w="4649" w:type="dxa"/>
          </w:tcPr>
          <w:p w14:paraId="77FD58ED"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Zákaz nebezpečných látok.</w:t>
            </w:r>
            <w:r w:rsidRPr="009E2454">
              <w:rPr>
                <w:rFonts w:ascii="Calibri" w:eastAsia="Times New Roman" w:hAnsi="Calibri" w:cs="Calibri"/>
                <w:sz w:val="16"/>
                <w:szCs w:val="16"/>
              </w:rPr>
              <w:t xml:space="preserve"> Nájomca neumiestni, ani nedovolí umiestniť, nepoužije, ani nedovolí použiť, neponechá, ani nedovolí ponechať v Priestoroch, ani neprinesie, ani nedovolí priniesť na alebo do Budovy alebo priľahlých pozemkov k Budove žiadne nebezpečné látky, kontaminanty, ani znečisťujúce látky, toxické látky, ani odpady, infekčné materiály, ropné produkty, azbest, ani materiály obsahujúce azbest (okrem zanedbateľných množstiev bežných čistiacich prostriedkov) (spoločne označované ako “</w:t>
            </w:r>
            <w:r w:rsidRPr="009E2454">
              <w:rPr>
                <w:rFonts w:ascii="Calibri" w:eastAsia="Times New Roman" w:hAnsi="Calibri" w:cs="Calibri"/>
                <w:b/>
                <w:sz w:val="16"/>
                <w:szCs w:val="16"/>
                <w:u w:val="single"/>
              </w:rPr>
              <w:t>Nebezpečné materiály</w:t>
            </w:r>
            <w:r w:rsidRPr="009E2454">
              <w:rPr>
                <w:rFonts w:ascii="Calibri" w:eastAsia="Times New Roman" w:hAnsi="Calibri" w:cs="Calibri"/>
                <w:sz w:val="16"/>
                <w:szCs w:val="16"/>
              </w:rPr>
              <w:t>“). Nájomca súhlasí s tým, že odškodní, bude brániť a uchráni Prenajímateľa pred škodami v dôsledku, a proti akýmkoľvek nárokom a žalobám, ktoré vzniknú z alebo budú súvisieť s akýmikoľvek takými Nebezpečnými materiálmi, znečistením, stratou alebo škodou. Povinnosti uvedené v tomto odseku budú pokračovať aj po ukončení Zmluvy. V každom prípade Nájomca odškodní a bude chrániť Prenajímateľa proti všetkým nárokom, ktoré vzniknú z poškodenia alebo znečistenia Priestorov a ďalej odškodní Prenajímateľa za akékoľvek nároky tretích strán, ktoré vzniknú  v dôsledku prítomnosti takýchto Nebezpečných materiálov.</w:t>
            </w:r>
          </w:p>
        </w:tc>
      </w:tr>
      <w:tr w:rsidR="00432CAD" w:rsidRPr="009E2454" w14:paraId="477A83E1" w14:textId="77777777" w:rsidTr="002F2988">
        <w:tc>
          <w:tcPr>
            <w:tcW w:w="4649" w:type="dxa"/>
          </w:tcPr>
          <w:p w14:paraId="15EAB677"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Tenant’s Signage.</w:t>
            </w:r>
            <w:r w:rsidRPr="009E2454">
              <w:rPr>
                <w:rFonts w:ascii="Calibri" w:eastAsia="Times New Roman" w:hAnsi="Calibri" w:cs="Calibri"/>
                <w:sz w:val="16"/>
                <w:szCs w:val="16"/>
                <w:lang w:val="en-US"/>
              </w:rPr>
              <w:t xml:space="preserve"> </w:t>
            </w:r>
            <w:r>
              <w:rPr>
                <w:rFonts w:ascii="Calibri" w:eastAsia="Times New Roman" w:hAnsi="Calibri" w:cs="Calibri"/>
                <w:sz w:val="16"/>
                <w:szCs w:val="16"/>
                <w:lang w:val="en-US"/>
              </w:rPr>
              <w:t>The Lessor shall install, at his own costs</w:t>
            </w:r>
            <w:r w:rsidRPr="009E2454">
              <w:rPr>
                <w:rFonts w:ascii="Calibri" w:eastAsia="Times New Roman" w:hAnsi="Calibri" w:cs="Calibri"/>
                <w:sz w:val="16"/>
                <w:szCs w:val="16"/>
                <w:lang w:val="en-US"/>
              </w:rPr>
              <w:t xml:space="preserve">, the Tenant’s logo, and all letters or numerals on </w:t>
            </w:r>
            <w:r>
              <w:rPr>
                <w:rFonts w:ascii="Calibri" w:eastAsia="Times New Roman" w:hAnsi="Calibri" w:cs="Calibri"/>
                <w:sz w:val="16"/>
                <w:szCs w:val="16"/>
                <w:lang w:val="en-US"/>
              </w:rPr>
              <w:t xml:space="preserve">the mail box, on </w:t>
            </w:r>
            <w:r w:rsidRPr="009E2454">
              <w:rPr>
                <w:rFonts w:ascii="Calibri" w:eastAsia="Times New Roman" w:hAnsi="Calibri" w:cs="Calibri"/>
                <w:sz w:val="16"/>
                <w:szCs w:val="16"/>
                <w:lang w:val="en-US"/>
              </w:rPr>
              <w:t xml:space="preserve">entrance doors to the </w:t>
            </w:r>
            <w:r>
              <w:rPr>
                <w:rFonts w:ascii="Calibri" w:eastAsia="Times New Roman" w:hAnsi="Calibri" w:cs="Calibri"/>
                <w:sz w:val="16"/>
                <w:szCs w:val="16"/>
                <w:lang w:val="en-US"/>
              </w:rPr>
              <w:t xml:space="preserve">Building, where the Premises are located, on the information board on the ground of the Building and corresponding floor where the Premises are located and on entrance doors to the Premises. </w:t>
            </w:r>
          </w:p>
        </w:tc>
        <w:tc>
          <w:tcPr>
            <w:tcW w:w="4649" w:type="dxa"/>
          </w:tcPr>
          <w:p w14:paraId="6866B6AA" w14:textId="77777777" w:rsidR="00432CAD" w:rsidRPr="009E2454" w:rsidRDefault="00432CAD" w:rsidP="002F2988">
            <w:pPr>
              <w:numPr>
                <w:ilvl w:val="0"/>
                <w:numId w:val="11"/>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Nájomcove označenia.</w:t>
            </w:r>
            <w:r w:rsidRPr="009E2454">
              <w:rPr>
                <w:rFonts w:ascii="Calibri" w:eastAsia="Times New Roman" w:hAnsi="Calibri" w:cs="Calibri"/>
                <w:sz w:val="16"/>
                <w:szCs w:val="16"/>
              </w:rPr>
              <w:t xml:space="preserve"> </w:t>
            </w:r>
            <w:r>
              <w:rPr>
                <w:rFonts w:ascii="Calibri" w:eastAsia="Times New Roman" w:hAnsi="Calibri" w:cs="Calibri"/>
                <w:sz w:val="16"/>
                <w:szCs w:val="16"/>
              </w:rPr>
              <w:t xml:space="preserve">Prenajímateľ </w:t>
            </w:r>
            <w:r w:rsidRPr="009E2454">
              <w:rPr>
                <w:rFonts w:ascii="Calibri" w:eastAsia="Times New Roman" w:hAnsi="Calibri" w:cs="Calibri"/>
                <w:sz w:val="16"/>
                <w:szCs w:val="16"/>
              </w:rPr>
              <w:t>umiestni na svoje náklady logo</w:t>
            </w:r>
            <w:r>
              <w:rPr>
                <w:rFonts w:ascii="Calibri" w:eastAsia="Times New Roman" w:hAnsi="Calibri" w:cs="Calibri"/>
                <w:sz w:val="16"/>
                <w:szCs w:val="16"/>
              </w:rPr>
              <w:t xml:space="preserve"> Nájomcu</w:t>
            </w:r>
            <w:r w:rsidRPr="009E2454">
              <w:rPr>
                <w:rFonts w:ascii="Calibri" w:eastAsia="Times New Roman" w:hAnsi="Calibri" w:cs="Calibri"/>
                <w:sz w:val="16"/>
                <w:szCs w:val="16"/>
              </w:rPr>
              <w:t xml:space="preserve"> a všetky písmená a znaky na </w:t>
            </w:r>
            <w:r>
              <w:rPr>
                <w:rFonts w:ascii="Calibri" w:eastAsia="Times New Roman" w:hAnsi="Calibri" w:cs="Calibri"/>
                <w:sz w:val="16"/>
                <w:szCs w:val="16"/>
              </w:rPr>
              <w:t xml:space="preserve">poštovú schránku, fasádu budovy, v ktorej sa Priestory nachádzajú, na sklenené informačné tabule nachádzajúce sa na prízemí a poschodí </w:t>
            </w:r>
            <w:r w:rsidRPr="009E2454">
              <w:rPr>
                <w:rFonts w:ascii="Calibri" w:eastAsia="Times New Roman" w:hAnsi="Calibri" w:cs="Calibri"/>
                <w:sz w:val="16"/>
                <w:szCs w:val="16"/>
              </w:rPr>
              <w:t xml:space="preserve">Priestorov a na </w:t>
            </w:r>
            <w:r>
              <w:rPr>
                <w:rFonts w:ascii="Calibri" w:eastAsia="Times New Roman" w:hAnsi="Calibri" w:cs="Calibri"/>
                <w:sz w:val="16"/>
                <w:szCs w:val="16"/>
              </w:rPr>
              <w:t xml:space="preserve">vstup do Priestorov. </w:t>
            </w:r>
          </w:p>
        </w:tc>
      </w:tr>
      <w:tr w:rsidR="00432CAD" w:rsidRPr="009E2454" w14:paraId="56286D10" w14:textId="77777777" w:rsidTr="002F2988">
        <w:tc>
          <w:tcPr>
            <w:tcW w:w="4649" w:type="dxa"/>
          </w:tcPr>
          <w:p w14:paraId="42222CB3"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Lessor’s Signage.</w:t>
            </w:r>
            <w:r w:rsidRPr="009E2454">
              <w:rPr>
                <w:rFonts w:ascii="Calibri" w:eastAsia="Times New Roman" w:hAnsi="Calibri" w:cs="Calibri"/>
                <w:sz w:val="16"/>
                <w:szCs w:val="16"/>
                <w:lang w:val="en-US"/>
              </w:rPr>
              <w:t xml:space="preserve"> The Tenant may use the trade name or trademark of the Lessor or any pictures or photographs containing the trade name or trademark, such as a picture of Building, only with the prior written consent of the Lessor.</w:t>
            </w:r>
          </w:p>
        </w:tc>
        <w:tc>
          <w:tcPr>
            <w:tcW w:w="4649" w:type="dxa"/>
          </w:tcPr>
          <w:p w14:paraId="3419A053"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Prenajímateľove označenia.</w:t>
            </w:r>
            <w:r w:rsidRPr="009E2454">
              <w:rPr>
                <w:rFonts w:ascii="Calibri" w:eastAsia="Times New Roman" w:hAnsi="Calibri" w:cs="Calibri"/>
                <w:sz w:val="16"/>
                <w:szCs w:val="16"/>
              </w:rPr>
              <w:t xml:space="preserve"> Nájomca môže používať obchodné meno a obchodnú značku Prenajímateľa alebo akékoľvek obrázky alebo fotografie obsahujúce obchodný názov alebo obchodnú značku, ako napríklad obrázok Budovy, iba s predchádzajúcim písomným súhlasom Prenajímateľa. </w:t>
            </w:r>
          </w:p>
        </w:tc>
      </w:tr>
      <w:tr w:rsidR="00432CAD" w:rsidRPr="009E2454" w14:paraId="635895DF" w14:textId="77777777" w:rsidTr="002F2988">
        <w:tc>
          <w:tcPr>
            <w:tcW w:w="4649" w:type="dxa"/>
          </w:tcPr>
          <w:p w14:paraId="67ECE1A4"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Lessor’s Right to Enter the Premises.</w:t>
            </w:r>
            <w:r w:rsidRPr="009E2454">
              <w:rPr>
                <w:rFonts w:ascii="Calibri" w:eastAsia="Times New Roman" w:hAnsi="Calibri" w:cs="Calibri"/>
                <w:sz w:val="16"/>
                <w:szCs w:val="16"/>
                <w:lang w:val="en-US"/>
              </w:rPr>
              <w:t xml:space="preserve"> The Tenant agrees to grant the Lessor, or its agents or representatives, access to the Premises, at any time in the case of an emergency (with a written confirmation notice issued after any such emergency access), and, in other cases, during reasonable hours, upon reasonable advance notice, for the purposes of inspecting and protecting the Premises, making any necessary repairs thereto and performing any work therein that may be necessary.</w:t>
            </w:r>
          </w:p>
        </w:tc>
        <w:tc>
          <w:tcPr>
            <w:tcW w:w="4649" w:type="dxa"/>
          </w:tcPr>
          <w:p w14:paraId="059940D3"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Prenajímateľovo právo vstupu do Priestorov.</w:t>
            </w:r>
            <w:r w:rsidRPr="009E2454">
              <w:rPr>
                <w:rFonts w:ascii="Calibri" w:eastAsia="Times New Roman" w:hAnsi="Calibri" w:cs="Calibri"/>
                <w:sz w:val="16"/>
                <w:szCs w:val="16"/>
              </w:rPr>
              <w:t xml:space="preserve"> Nájomca súhlasí s tým, že umožní Prenajímateľovi alebo jeho zástupcom alebo splnomocnencom prístup do Priestorov, v naliehavých prípadoch kedykoľvek (s písomným potvrdením po každom takomto prístupe v naliehavom prípade) a v ostatných prípadoch, v rozumnom čase na základe predchádzajúceho oznámenia daného v primeranom predstihu, pre účely kontroly a ochrany Priestorov, vykonania akýchkoľvek potrebných opráv a akýchkoľvek prác, ktoré môžu byť potrebné.</w:t>
            </w:r>
          </w:p>
        </w:tc>
      </w:tr>
      <w:tr w:rsidR="00432CAD" w:rsidRPr="009E2454" w14:paraId="1B2C8863" w14:textId="77777777" w:rsidTr="002F2988">
        <w:tc>
          <w:tcPr>
            <w:tcW w:w="4649" w:type="dxa"/>
          </w:tcPr>
          <w:p w14:paraId="587A8731"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Allowed Interruption of Tenant’s Operations.</w:t>
            </w:r>
            <w:r w:rsidRPr="009E2454">
              <w:rPr>
                <w:rFonts w:ascii="Calibri" w:eastAsia="Times New Roman" w:hAnsi="Calibri" w:cs="Calibri"/>
                <w:sz w:val="16"/>
                <w:szCs w:val="16"/>
                <w:lang w:val="en-US"/>
              </w:rPr>
              <w:t xml:space="preserve"> Upon reasonable prior notice of the Lessor, the Tenant shall interrupt its operation in the Premises and not enter Building and the Premises for the period indicated by the Lessor in the notice. The Lessor may give such a notice only in extraordinary situation such as in case of national security reasons, or other such important security reasons, for a time period absolutely necessary to achieve the security obligations of the Lessor. The Tenant shall not be entitled to any damage compensation or reduction of Rent for the above reason.</w:t>
            </w:r>
          </w:p>
        </w:tc>
        <w:tc>
          <w:tcPr>
            <w:tcW w:w="4649" w:type="dxa"/>
          </w:tcPr>
          <w:p w14:paraId="6FA15451" w14:textId="77777777" w:rsidR="00432CAD" w:rsidRPr="009E2454" w:rsidRDefault="00432CAD" w:rsidP="002F2988">
            <w:pPr>
              <w:numPr>
                <w:ilvl w:val="0"/>
                <w:numId w:val="11"/>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Povolené prerušenie Nájomcovej prevádzky.</w:t>
            </w:r>
            <w:r w:rsidRPr="009E2454">
              <w:rPr>
                <w:rFonts w:ascii="Calibri" w:eastAsia="Times New Roman" w:hAnsi="Calibri" w:cs="Calibri"/>
                <w:sz w:val="16"/>
                <w:szCs w:val="16"/>
              </w:rPr>
              <w:t xml:space="preserve"> Po primeranom predchádzajúcom oznámení Prenajímateľa je Nájomca povinný prerušiť svoju prevádzku v Priestoroch a nevstúpiť do Budovy a Priestorov po dobu uvedenú Prenajímateľom v príslušnom oznámení. Prenajímateľ môže dať také oznámenie iba v mimoriadnej situácii ako v prípade dôvodov národnej bezpečnosti alebo z iných dôležitých bezpečnostných dôvodov, na dobu, ktorá je absolútne nevyhnutná na splnenie bezpečnostných povinností Prenajímateľa. Nájomca nemá právo na žiadne odškodnenie alebo zľavu z Nájomného z vyššie uvedených dôvodov.</w:t>
            </w:r>
          </w:p>
        </w:tc>
      </w:tr>
      <w:tr w:rsidR="00432CAD" w:rsidRPr="009E2454" w14:paraId="73F378F8" w14:textId="77777777" w:rsidTr="002F2988">
        <w:tc>
          <w:tcPr>
            <w:tcW w:w="4649" w:type="dxa"/>
          </w:tcPr>
          <w:p w14:paraId="1678F33E"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Relocation.</w:t>
            </w:r>
            <w:r w:rsidRPr="009E2454">
              <w:rPr>
                <w:rFonts w:ascii="Calibri" w:eastAsia="Times New Roman" w:hAnsi="Calibri" w:cs="Calibri"/>
                <w:sz w:val="16"/>
                <w:szCs w:val="16"/>
                <w:lang w:val="en-US"/>
              </w:rPr>
              <w:t xml:space="preserve"> The Lessor reserves the right to relocate the Tenant to other premises of equal or better quality, within the floor or the Building. The relocation shall take place </w:t>
            </w:r>
            <w:r>
              <w:rPr>
                <w:rFonts w:ascii="Calibri" w:eastAsia="Times New Roman" w:hAnsi="Calibri" w:cs="Calibri"/>
                <w:sz w:val="16"/>
                <w:szCs w:val="16"/>
                <w:lang w:val="en-US"/>
              </w:rPr>
              <w:t xml:space="preserve">upon </w:t>
            </w:r>
            <w:r w:rsidRPr="009E2454">
              <w:rPr>
                <w:rFonts w:ascii="Calibri" w:eastAsia="Times New Roman" w:hAnsi="Calibri" w:cs="Calibri"/>
                <w:sz w:val="16"/>
                <w:szCs w:val="16"/>
                <w:lang w:val="en-US"/>
              </w:rPr>
              <w:t>notice given by the Lessor</w:t>
            </w:r>
            <w:r>
              <w:rPr>
                <w:rFonts w:ascii="Calibri" w:eastAsia="Times New Roman" w:hAnsi="Calibri" w:cs="Calibri"/>
                <w:sz w:val="16"/>
                <w:szCs w:val="16"/>
                <w:lang w:val="en-US"/>
              </w:rPr>
              <w:t xml:space="preserve"> at least one (1) month before the </w:t>
            </w:r>
            <w:r>
              <w:rPr>
                <w:rFonts w:ascii="Calibri" w:eastAsia="Times New Roman" w:hAnsi="Calibri" w:cs="Calibri"/>
                <w:sz w:val="16"/>
                <w:szCs w:val="16"/>
                <w:lang w:val="en-US"/>
              </w:rPr>
              <w:lastRenderedPageBreak/>
              <w:t>intended day of relocation</w:t>
            </w:r>
            <w:r w:rsidRPr="009E2454">
              <w:rPr>
                <w:rFonts w:ascii="Calibri" w:eastAsia="Times New Roman" w:hAnsi="Calibri" w:cs="Calibri"/>
                <w:sz w:val="16"/>
                <w:szCs w:val="16"/>
                <w:lang w:val="en-US"/>
              </w:rPr>
              <w:t>. The Lessor shall arrange for and bear all reasonable costs resulting from the relocation.</w:t>
            </w:r>
          </w:p>
        </w:tc>
        <w:tc>
          <w:tcPr>
            <w:tcW w:w="4649" w:type="dxa"/>
          </w:tcPr>
          <w:p w14:paraId="39184A9F"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lastRenderedPageBreak/>
              <w:t>Presťahovanie.</w:t>
            </w:r>
            <w:r w:rsidRPr="009E2454">
              <w:rPr>
                <w:rFonts w:ascii="Calibri" w:eastAsia="Times New Roman" w:hAnsi="Calibri" w:cs="Calibri"/>
                <w:sz w:val="16"/>
                <w:szCs w:val="16"/>
              </w:rPr>
              <w:t xml:space="preserve"> Prenajímateľ si vyhradzuje právo presťahovať Nájomcu do iných priestorov rovnakej alebo lepšej kvality, v rámci poschodia alebo Budovy. Presťahovanie sa uskutoční na základe písomného oznámenia Prenajímateľa </w:t>
            </w:r>
            <w:r>
              <w:rPr>
                <w:rFonts w:ascii="Calibri" w:eastAsia="Times New Roman" w:hAnsi="Calibri" w:cs="Calibri"/>
                <w:sz w:val="16"/>
                <w:szCs w:val="16"/>
              </w:rPr>
              <w:t xml:space="preserve">doručeného </w:t>
            </w:r>
            <w:r>
              <w:rPr>
                <w:rFonts w:ascii="Calibri" w:eastAsia="Times New Roman" w:hAnsi="Calibri" w:cs="Calibri"/>
                <w:sz w:val="16"/>
                <w:szCs w:val="16"/>
              </w:rPr>
              <w:lastRenderedPageBreak/>
              <w:t xml:space="preserve">Nájomcovi najneskôr </w:t>
            </w:r>
            <w:r w:rsidRPr="009E2454">
              <w:rPr>
                <w:rFonts w:ascii="Calibri" w:eastAsia="Times New Roman" w:hAnsi="Calibri" w:cs="Calibri"/>
                <w:sz w:val="16"/>
                <w:szCs w:val="16"/>
              </w:rPr>
              <w:t>jeden (1) mesiac vopred</w:t>
            </w:r>
            <w:r>
              <w:rPr>
                <w:rFonts w:ascii="Calibri" w:eastAsia="Times New Roman" w:hAnsi="Calibri" w:cs="Calibri"/>
                <w:sz w:val="16"/>
                <w:szCs w:val="16"/>
              </w:rPr>
              <w:t xml:space="preserve"> pred zamýšľaným dňom presťahovania</w:t>
            </w:r>
            <w:r w:rsidRPr="009E2454">
              <w:rPr>
                <w:rFonts w:ascii="Calibri" w:eastAsia="Times New Roman" w:hAnsi="Calibri" w:cs="Calibri"/>
                <w:sz w:val="16"/>
                <w:szCs w:val="16"/>
              </w:rPr>
              <w:t>. Prenajímateľ zariadi a bude znášať všetky primerané náklady, ktoré vzniknú v dôsledku presťahovania.</w:t>
            </w:r>
          </w:p>
        </w:tc>
      </w:tr>
      <w:tr w:rsidR="00432CAD" w:rsidRPr="009E2454" w14:paraId="1206BC60" w14:textId="77777777" w:rsidTr="002F2988">
        <w:tc>
          <w:tcPr>
            <w:tcW w:w="4649" w:type="dxa"/>
          </w:tcPr>
          <w:p w14:paraId="5E74BFAC" w14:textId="77777777" w:rsidR="00432CAD" w:rsidRPr="009E2454" w:rsidRDefault="00432CAD" w:rsidP="002F2988">
            <w:pPr>
              <w:numPr>
                <w:ilvl w:val="0"/>
                <w:numId w:val="6"/>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lastRenderedPageBreak/>
              <w:t>Insurance</w:t>
            </w:r>
            <w:r w:rsidRPr="009E2454">
              <w:rPr>
                <w:rFonts w:ascii="Calibri" w:eastAsia="Times New Roman" w:hAnsi="Calibri" w:cs="Calibri"/>
                <w:b/>
                <w:sz w:val="16"/>
                <w:szCs w:val="16"/>
                <w:lang w:val="en-US"/>
              </w:rPr>
              <w:t>.</w:t>
            </w:r>
            <w:r w:rsidRPr="009E2454">
              <w:rPr>
                <w:rFonts w:ascii="Calibri" w:eastAsia="Times New Roman" w:hAnsi="Calibri" w:cs="Calibri"/>
                <w:sz w:val="16"/>
                <w:szCs w:val="16"/>
                <w:lang w:val="en-US"/>
              </w:rPr>
              <w:t xml:space="preserve"> At all times during the Term, the Tenant shall carry and maintain, at the Tenant’s expense, general liability insurance against damage to property and health of third persons and insurance of property of the Tenant or other third persons brought by the Tenant or with its consent to the Premises an “all risk” basis, in particular for for fire, perils, theft, and other coverage usually maintained by similar businesses. </w:t>
            </w:r>
            <w:r>
              <w:rPr>
                <w:rFonts w:ascii="Calibri" w:eastAsia="Times New Roman" w:hAnsi="Calibri" w:cs="Calibri"/>
                <w:sz w:val="16"/>
                <w:szCs w:val="16"/>
                <w:lang w:val="en-US"/>
              </w:rPr>
              <w:t>T</w:t>
            </w:r>
            <w:r w:rsidRPr="009E2454">
              <w:rPr>
                <w:rFonts w:ascii="Calibri" w:eastAsia="Times New Roman" w:hAnsi="Calibri" w:cs="Calibri"/>
                <w:sz w:val="16"/>
                <w:szCs w:val="16"/>
                <w:lang w:val="en-US"/>
              </w:rPr>
              <w:t xml:space="preserve">he Tenant shall deliver to the Lessor written confirmations from its insurer that each such policy is in effect. </w:t>
            </w:r>
            <w:r>
              <w:rPr>
                <w:rFonts w:ascii="Calibri" w:eastAsia="Times New Roman" w:hAnsi="Calibri" w:cs="Calibri"/>
                <w:sz w:val="16"/>
                <w:szCs w:val="16"/>
                <w:lang w:val="en-US"/>
              </w:rPr>
              <w:t>In case of breach of th Tenant´s duties under this section, the Lessor</w:t>
            </w:r>
            <w:r w:rsidRPr="00366D95">
              <w:rPr>
                <w:rFonts w:ascii="Calibri" w:eastAsia="Times New Roman" w:hAnsi="Calibri" w:cs="Calibri"/>
                <w:sz w:val="16"/>
                <w:szCs w:val="16"/>
                <w:lang w:val="en-US"/>
              </w:rPr>
              <w:t xml:space="preserve"> shall not be liable</w:t>
            </w:r>
            <w:r>
              <w:rPr>
                <w:rFonts w:ascii="Calibri" w:eastAsia="Times New Roman" w:hAnsi="Calibri" w:cs="Calibri"/>
                <w:sz w:val="16"/>
                <w:szCs w:val="16"/>
                <w:lang w:val="en-US"/>
              </w:rPr>
              <w:t xml:space="preserve"> for Tenant´s property </w:t>
            </w:r>
            <w:r w:rsidRPr="00366D95">
              <w:rPr>
                <w:rFonts w:ascii="Calibri" w:eastAsia="Times New Roman" w:hAnsi="Calibri" w:cs="Calibri"/>
                <w:sz w:val="16"/>
                <w:szCs w:val="16"/>
                <w:lang w:val="en-US"/>
              </w:rPr>
              <w:t xml:space="preserve">or </w:t>
            </w:r>
            <w:r>
              <w:rPr>
                <w:rFonts w:ascii="Calibri" w:eastAsia="Times New Roman" w:hAnsi="Calibri" w:cs="Calibri"/>
                <w:sz w:val="16"/>
                <w:szCs w:val="16"/>
                <w:lang w:val="en-US"/>
              </w:rPr>
              <w:t xml:space="preserve">any other property of </w:t>
            </w:r>
            <w:r w:rsidRPr="00366D95">
              <w:rPr>
                <w:rFonts w:ascii="Calibri" w:eastAsia="Times New Roman" w:hAnsi="Calibri" w:cs="Calibri"/>
                <w:sz w:val="16"/>
                <w:szCs w:val="16"/>
                <w:lang w:val="en-US"/>
              </w:rPr>
              <w:t>third</w:t>
            </w:r>
            <w:r>
              <w:rPr>
                <w:rFonts w:ascii="Calibri" w:eastAsia="Times New Roman" w:hAnsi="Calibri" w:cs="Calibri"/>
                <w:sz w:val="16"/>
                <w:szCs w:val="16"/>
                <w:lang w:val="en-US"/>
              </w:rPr>
              <w:t xml:space="preserve"> parties brought in the Premises by the Tenant</w:t>
            </w:r>
            <w:r w:rsidRPr="00366D95">
              <w:rPr>
                <w:rFonts w:ascii="Calibri" w:eastAsia="Times New Roman" w:hAnsi="Calibri" w:cs="Calibri"/>
                <w:sz w:val="16"/>
                <w:szCs w:val="16"/>
                <w:lang w:val="en-US"/>
              </w:rPr>
              <w:t xml:space="preserve"> or with the consent of </w:t>
            </w:r>
            <w:r>
              <w:rPr>
                <w:rFonts w:ascii="Calibri" w:eastAsia="Times New Roman" w:hAnsi="Calibri" w:cs="Calibri"/>
                <w:sz w:val="16"/>
                <w:szCs w:val="16"/>
                <w:lang w:val="en-US"/>
              </w:rPr>
              <w:t>Tenant.</w:t>
            </w:r>
          </w:p>
        </w:tc>
        <w:tc>
          <w:tcPr>
            <w:tcW w:w="4649" w:type="dxa"/>
          </w:tcPr>
          <w:p w14:paraId="3FEA13CF" w14:textId="77777777" w:rsidR="00432CAD" w:rsidRPr="009E2454" w:rsidRDefault="00432CAD" w:rsidP="002F2988">
            <w:pPr>
              <w:numPr>
                <w:ilvl w:val="0"/>
                <w:numId w:val="11"/>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Poistenie.</w:t>
            </w:r>
            <w:r w:rsidRPr="009E2454">
              <w:rPr>
                <w:rFonts w:ascii="Calibri" w:eastAsia="Times New Roman" w:hAnsi="Calibri" w:cs="Calibri"/>
                <w:sz w:val="16"/>
                <w:szCs w:val="16"/>
              </w:rPr>
              <w:t xml:space="preserve"> Počas celej Doby nájmu Nájomca bude mať a udržiavať v platnosti na svoje náklady poistenie všeobecnej zodpovednosti za škodu spôsobenú na majetku a zdraví tretích osôb a poistenie vlastného majetku alebo iných tretích osôb vneseného Nájomcom alebo s jeho súhlasom do Priestorov na princípe poistenia „všetkých rizík“, najmä proti požiaru, nebezpečenstvu, krádeži, a iným poisteným krytiam, ktoré sa zvyčajne uzatvára pri podobnej podnikateľskej činnosti</w:t>
            </w:r>
            <w:r>
              <w:rPr>
                <w:rFonts w:ascii="Calibri" w:eastAsia="Times New Roman" w:hAnsi="Calibri" w:cs="Calibri"/>
                <w:sz w:val="16"/>
                <w:szCs w:val="16"/>
              </w:rPr>
              <w:t>,</w:t>
            </w:r>
            <w:r w:rsidRPr="009E2454">
              <w:rPr>
                <w:rFonts w:ascii="Calibri" w:eastAsia="Times New Roman" w:hAnsi="Calibri" w:cs="Calibri"/>
                <w:sz w:val="16"/>
                <w:szCs w:val="16"/>
              </w:rPr>
              <w:t xml:space="preserve"> </w:t>
            </w:r>
            <w:r>
              <w:rPr>
                <w:rFonts w:ascii="Calibri" w:eastAsia="Times New Roman" w:hAnsi="Calibri" w:cs="Calibri"/>
                <w:sz w:val="16"/>
                <w:szCs w:val="16"/>
              </w:rPr>
              <w:t xml:space="preserve">pričom </w:t>
            </w:r>
            <w:r w:rsidRPr="009E2454">
              <w:rPr>
                <w:rFonts w:ascii="Calibri" w:eastAsia="Times New Roman" w:hAnsi="Calibri" w:cs="Calibri"/>
                <w:sz w:val="16"/>
                <w:szCs w:val="16"/>
              </w:rPr>
              <w:t xml:space="preserve">doručí Prenajímateľovi písomné potvrdenia od svojho poisťovateľa, že každá takáto poistná zmluva je v čase </w:t>
            </w:r>
            <w:r>
              <w:rPr>
                <w:rFonts w:ascii="Calibri" w:eastAsia="Times New Roman" w:hAnsi="Calibri" w:cs="Calibri"/>
                <w:sz w:val="16"/>
                <w:szCs w:val="16"/>
              </w:rPr>
              <w:t xml:space="preserve">Doby nájmu </w:t>
            </w:r>
            <w:r w:rsidRPr="009E2454">
              <w:rPr>
                <w:rFonts w:ascii="Calibri" w:eastAsia="Times New Roman" w:hAnsi="Calibri" w:cs="Calibri"/>
                <w:sz w:val="16"/>
                <w:szCs w:val="16"/>
              </w:rPr>
              <w:t>účinná.</w:t>
            </w:r>
            <w:r>
              <w:rPr>
                <w:rFonts w:ascii="Calibri" w:eastAsia="Times New Roman" w:hAnsi="Calibri" w:cs="Calibri"/>
                <w:sz w:val="16"/>
                <w:szCs w:val="16"/>
              </w:rPr>
              <w:t xml:space="preserve"> V prípade neuzatvorenia poistenia Nájomcom podľa tohto odseku, nenesie Prenajímateľ zodpovednosť za majetok Nájomcu alebo iných tretích osôb vnesených Nájomcom alebo s jeho súhlasom do Priestorov. </w:t>
            </w:r>
          </w:p>
        </w:tc>
      </w:tr>
      <w:tr w:rsidR="00432CAD" w:rsidRPr="009E2454" w14:paraId="03D07FA5" w14:textId="77777777" w:rsidTr="002F2988">
        <w:tc>
          <w:tcPr>
            <w:tcW w:w="4649" w:type="dxa"/>
          </w:tcPr>
          <w:p w14:paraId="27756FFD" w14:textId="77777777" w:rsidR="00432CAD" w:rsidRPr="009E2454" w:rsidRDefault="00432CAD" w:rsidP="002F2988">
            <w:pPr>
              <w:numPr>
                <w:ilvl w:val="0"/>
                <w:numId w:val="6"/>
              </w:numPr>
              <w:spacing w:before="120"/>
              <w:rPr>
                <w:rFonts w:ascii="Calibri" w:eastAsia="Times New Roman" w:hAnsi="Calibri" w:cs="Calibri"/>
                <w:b/>
                <w:caps/>
                <w:sz w:val="16"/>
                <w:szCs w:val="16"/>
                <w:lang w:val="en-US"/>
              </w:rPr>
            </w:pPr>
            <w:r w:rsidRPr="009E2454">
              <w:rPr>
                <w:rFonts w:ascii="Calibri" w:eastAsia="Times New Roman" w:hAnsi="Calibri" w:cs="Calibri"/>
                <w:b/>
                <w:sz w:val="16"/>
                <w:szCs w:val="16"/>
                <w:u w:val="single"/>
                <w:lang w:val="en-US"/>
              </w:rPr>
              <w:t>Parking</w:t>
            </w:r>
            <w:r w:rsidRPr="009E2454">
              <w:rPr>
                <w:rFonts w:ascii="Calibri" w:eastAsia="Times New Roman" w:hAnsi="Calibri" w:cs="Calibri"/>
                <w:b/>
                <w:sz w:val="16"/>
                <w:szCs w:val="16"/>
                <w:lang w:val="en-US"/>
              </w:rPr>
              <w:t xml:space="preserve">. </w:t>
            </w:r>
            <w:r w:rsidRPr="009E2454">
              <w:rPr>
                <w:rFonts w:ascii="Calibri" w:eastAsia="Times New Roman" w:hAnsi="Calibri" w:cs="Calibri"/>
                <w:sz w:val="16"/>
                <w:szCs w:val="16"/>
                <w:lang w:val="en-US"/>
              </w:rPr>
              <w:t xml:space="preserve">The Tenant may </w:t>
            </w:r>
            <w:r>
              <w:rPr>
                <w:rFonts w:ascii="Calibri" w:eastAsia="Times New Roman" w:hAnsi="Calibri" w:cs="Calibri"/>
                <w:sz w:val="16"/>
                <w:szCs w:val="16"/>
                <w:lang w:val="en-US"/>
              </w:rPr>
              <w:t xml:space="preserve">subscript </w:t>
            </w:r>
            <w:r w:rsidRPr="009E2454">
              <w:rPr>
                <w:rFonts w:ascii="Calibri" w:eastAsia="Times New Roman" w:hAnsi="Calibri" w:cs="Calibri"/>
                <w:sz w:val="16"/>
                <w:szCs w:val="16"/>
                <w:lang w:val="en-US"/>
              </w:rPr>
              <w:t>parking places from the Lessor in Building, where the number of the parking places and any further terms and conditions related thereto will be agreed in a special agreement to be concluded between the Tenant and the Lessor.</w:t>
            </w:r>
          </w:p>
        </w:tc>
        <w:tc>
          <w:tcPr>
            <w:tcW w:w="4649" w:type="dxa"/>
          </w:tcPr>
          <w:p w14:paraId="5F5610D4"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Parkovanie.</w:t>
            </w:r>
            <w:r w:rsidRPr="009E2454">
              <w:rPr>
                <w:rFonts w:ascii="Calibri" w:eastAsia="Times New Roman" w:hAnsi="Calibri" w:cs="Calibri"/>
                <w:sz w:val="16"/>
                <w:szCs w:val="16"/>
              </w:rPr>
              <w:t xml:space="preserve"> Nájomca si môže v rámci Budovy </w:t>
            </w:r>
            <w:r>
              <w:rPr>
                <w:rFonts w:ascii="Calibri" w:eastAsia="Times New Roman" w:hAnsi="Calibri" w:cs="Calibri"/>
                <w:sz w:val="16"/>
                <w:szCs w:val="16"/>
              </w:rPr>
              <w:t xml:space="preserve">predplatiť </w:t>
            </w:r>
            <w:r w:rsidRPr="009E2454">
              <w:rPr>
                <w:rFonts w:ascii="Calibri" w:eastAsia="Times New Roman" w:hAnsi="Calibri" w:cs="Calibri"/>
                <w:sz w:val="16"/>
                <w:szCs w:val="16"/>
              </w:rPr>
              <w:t xml:space="preserve">parkovacie miesta od Prenajímateľa, pričom počet parkovacích miest a ďalšie podmienky vzťahujúce sa k </w:t>
            </w:r>
            <w:r>
              <w:rPr>
                <w:rFonts w:ascii="Calibri" w:eastAsia="Times New Roman" w:hAnsi="Calibri" w:cs="Calibri"/>
                <w:sz w:val="16"/>
                <w:szCs w:val="16"/>
              </w:rPr>
              <w:t xml:space="preserve">predplateniu </w:t>
            </w:r>
            <w:r w:rsidRPr="009E2454">
              <w:rPr>
                <w:rFonts w:ascii="Calibri" w:eastAsia="Times New Roman" w:hAnsi="Calibri" w:cs="Calibri"/>
                <w:sz w:val="16"/>
                <w:szCs w:val="16"/>
              </w:rPr>
              <w:t>parkovacích miest budú dohodnuté v osobitnej zmluve uzatvorenej medzi Nájomcom a Prenajímateľom.</w:t>
            </w:r>
          </w:p>
        </w:tc>
      </w:tr>
      <w:tr w:rsidR="00432CAD" w:rsidRPr="009E2454" w14:paraId="4521AB5F" w14:textId="77777777" w:rsidTr="002F2988">
        <w:tc>
          <w:tcPr>
            <w:tcW w:w="4649" w:type="dxa"/>
          </w:tcPr>
          <w:p w14:paraId="70BD7C42" w14:textId="77777777" w:rsidR="00432CAD" w:rsidRPr="009E2454" w:rsidRDefault="00432CAD" w:rsidP="002F2988">
            <w:pPr>
              <w:numPr>
                <w:ilvl w:val="0"/>
                <w:numId w:val="6"/>
              </w:numPr>
              <w:spacing w:before="120"/>
              <w:rPr>
                <w:rFonts w:ascii="Calibri" w:eastAsia="Times New Roman" w:hAnsi="Calibri" w:cs="Calibri"/>
                <w:b/>
                <w:sz w:val="16"/>
                <w:szCs w:val="16"/>
                <w:u w:val="single"/>
                <w:lang w:val="en-US"/>
              </w:rPr>
            </w:pPr>
            <w:r>
              <w:rPr>
                <w:rFonts w:ascii="Calibri" w:eastAsia="Times New Roman" w:hAnsi="Calibri" w:cs="Calibri"/>
                <w:b/>
                <w:sz w:val="16"/>
                <w:szCs w:val="16"/>
                <w:u w:val="single"/>
                <w:lang w:val="en-US"/>
              </w:rPr>
              <w:t xml:space="preserve">Title Rights. </w:t>
            </w:r>
            <w:r>
              <w:rPr>
                <w:rFonts w:ascii="Calibri" w:eastAsia="Times New Roman" w:hAnsi="Calibri" w:cs="Calibri"/>
                <w:sz w:val="16"/>
                <w:szCs w:val="16"/>
                <w:lang w:val="en-US"/>
              </w:rPr>
              <w:t xml:space="preserve">In the event of foreclosure of any lien on the Building, sale of the Building, or other assignment of the Lessor’s interest in the Building, the Tenant will automatically become the tenant of such successor, in interest, without change in the terms or other provisions of this Lease. Prior to the change of ownership of the Premises, the Tenant shall, at the request of the Lessor, confirm in writing within five (5) calendar days, that this Lease shall continue between the Tenant and acquirer of the Premises as the Lessor. </w:t>
            </w:r>
          </w:p>
        </w:tc>
        <w:tc>
          <w:tcPr>
            <w:tcW w:w="4649" w:type="dxa"/>
          </w:tcPr>
          <w:p w14:paraId="3054ED55" w14:textId="77777777" w:rsidR="00432CAD" w:rsidRPr="009E2454" w:rsidRDefault="00432CAD" w:rsidP="002F2988">
            <w:pPr>
              <w:numPr>
                <w:ilvl w:val="0"/>
                <w:numId w:val="11"/>
              </w:numPr>
              <w:tabs>
                <w:tab w:val="num" w:pos="391"/>
              </w:tabs>
              <w:spacing w:before="120"/>
              <w:ind w:left="391"/>
              <w:rPr>
                <w:rFonts w:ascii="Calibri" w:eastAsia="Times New Roman" w:hAnsi="Calibri" w:cs="Calibri"/>
                <w:b/>
                <w:sz w:val="16"/>
                <w:szCs w:val="16"/>
                <w:u w:val="single"/>
              </w:rPr>
            </w:pPr>
            <w:r>
              <w:rPr>
                <w:rFonts w:ascii="Calibri" w:eastAsia="Times New Roman" w:hAnsi="Calibri" w:cs="Calibri"/>
                <w:b/>
                <w:sz w:val="16"/>
                <w:szCs w:val="16"/>
                <w:u w:val="single"/>
              </w:rPr>
              <w:t>Zmena vlastníctva.</w:t>
            </w:r>
            <w:r w:rsidRPr="0003360E">
              <w:rPr>
                <w:rFonts w:ascii="Calibri" w:eastAsia="Times New Roman" w:hAnsi="Calibri" w:cs="Calibri"/>
                <w:b/>
                <w:sz w:val="16"/>
                <w:szCs w:val="16"/>
              </w:rPr>
              <w:t xml:space="preserve"> </w:t>
            </w:r>
            <w:r>
              <w:rPr>
                <w:rFonts w:ascii="Calibri" w:eastAsia="Times New Roman" w:hAnsi="Calibri" w:cs="Calibri"/>
                <w:sz w:val="16"/>
                <w:szCs w:val="16"/>
              </w:rPr>
              <w:t xml:space="preserve">V prípade realizácie akéhokoľvek záložného práva na Budovu, predaja Budovy alebo iného postúpenia majetkového práva Prenajímateľa na Budove, sa Nájomca automaticky stane nájomcom akejkoľvek osoby alebo nástupníka majetkového podielu Prenajímateľa v dôsledku uvedenej skutočnosti, bez zmeny podmienok alebo ostatných ustanovení Zmluvy. Pred zmenou vlastníctva Priestorov, na žiadosť Prenajímateľa Nájomca písomne potvrdí do piatich (5) kalendárnych dní, že Zmluva bude pokračovať medzi Nájomcom a nadobúdateľom Priestorov ako Prenajímateľom. </w:t>
            </w:r>
          </w:p>
        </w:tc>
      </w:tr>
      <w:tr w:rsidR="00432CAD" w:rsidRPr="009E2454" w14:paraId="2F2CF07C" w14:textId="77777777" w:rsidTr="002F2988">
        <w:tc>
          <w:tcPr>
            <w:tcW w:w="4649" w:type="dxa"/>
          </w:tcPr>
          <w:p w14:paraId="37B83F04" w14:textId="77777777" w:rsidR="00432CAD" w:rsidRPr="006406B6" w:rsidRDefault="00432CAD" w:rsidP="002F2988">
            <w:pPr>
              <w:numPr>
                <w:ilvl w:val="0"/>
                <w:numId w:val="6"/>
              </w:numPr>
              <w:spacing w:before="120"/>
              <w:rPr>
                <w:rFonts w:asciiTheme="minorHAnsi" w:eastAsia="Times New Roman" w:hAnsiTheme="minorHAnsi" w:cs="Calibri"/>
                <w:sz w:val="16"/>
                <w:szCs w:val="16"/>
                <w:lang w:val="en-US"/>
              </w:rPr>
            </w:pPr>
            <w:r w:rsidRPr="006406B6">
              <w:rPr>
                <w:rFonts w:asciiTheme="minorHAnsi" w:eastAsia="Times New Roman" w:hAnsiTheme="minorHAnsi" w:cs="Calibri"/>
                <w:b/>
                <w:sz w:val="16"/>
                <w:szCs w:val="16"/>
                <w:u w:val="single"/>
                <w:lang w:val="en-US"/>
              </w:rPr>
              <w:t>Registration of seat</w:t>
            </w:r>
            <w:r w:rsidRPr="006406B6">
              <w:rPr>
                <w:rFonts w:asciiTheme="minorHAnsi" w:eastAsia="Times New Roman" w:hAnsiTheme="minorHAnsi" w:cs="Calibri"/>
                <w:b/>
                <w:sz w:val="16"/>
                <w:szCs w:val="16"/>
                <w:lang w:val="en-US"/>
              </w:rPr>
              <w:t xml:space="preserve">. </w:t>
            </w:r>
            <w:r w:rsidRPr="006406B6">
              <w:rPr>
                <w:rFonts w:asciiTheme="minorHAnsi" w:eastAsia="Times New Roman" w:hAnsiTheme="minorHAnsi" w:cs="Calibri"/>
                <w:sz w:val="16"/>
                <w:szCs w:val="16"/>
                <w:lang w:val="en-US"/>
              </w:rPr>
              <w:t>The Lessor undertakes to provide the Tenant with services related to the establishment of the registered seat/mailing address at the address of the Building based on Lessor’s written consent (“Services”) and the Tenant undertakes to pay the agreed fee for the Services. The Lessor also allows the Tenant to establish the sole mailing box/share mailing box (“Mailing Box”) for his mailing and correspondence purposes and the Tenant undertakes to pay the agreed charge for the Mailing Box. The Parties agreed that the Lessor is entitled to provide Services to the Tenant and other subjects, which are in relation to the Tenant:</w:t>
            </w:r>
          </w:p>
          <w:p w14:paraId="32565EAF" w14:textId="77777777" w:rsidR="00432CAD" w:rsidRPr="006406B6" w:rsidRDefault="00432CAD" w:rsidP="00432CAD">
            <w:pPr>
              <w:pStyle w:val="ListParagraph"/>
              <w:numPr>
                <w:ilvl w:val="0"/>
                <w:numId w:val="16"/>
              </w:numPr>
              <w:spacing w:before="120"/>
              <w:ind w:left="1163" w:hanging="425"/>
              <w:rPr>
                <w:rFonts w:asciiTheme="minorHAnsi" w:eastAsia="Times New Roman" w:hAnsiTheme="minorHAnsi" w:cs="Calibri"/>
                <w:sz w:val="16"/>
                <w:szCs w:val="16"/>
                <w:lang w:val="en-US"/>
              </w:rPr>
            </w:pPr>
            <w:r w:rsidRPr="006406B6">
              <w:rPr>
                <w:rFonts w:asciiTheme="minorHAnsi" w:eastAsia="Times New Roman" w:hAnsiTheme="minorHAnsi" w:cs="Calibri"/>
                <w:sz w:val="16"/>
                <w:szCs w:val="16"/>
                <w:lang w:val="en-US"/>
              </w:rPr>
              <w:t>its controlling person;</w:t>
            </w:r>
          </w:p>
          <w:p w14:paraId="367B3E6F" w14:textId="77777777" w:rsidR="00432CAD" w:rsidRPr="006406B6" w:rsidRDefault="00432CAD" w:rsidP="00432CAD">
            <w:pPr>
              <w:pStyle w:val="ListParagraph"/>
              <w:numPr>
                <w:ilvl w:val="0"/>
                <w:numId w:val="16"/>
              </w:numPr>
              <w:spacing w:before="120"/>
              <w:ind w:left="1163" w:hanging="425"/>
              <w:rPr>
                <w:rFonts w:asciiTheme="minorHAnsi" w:eastAsia="Times New Roman" w:hAnsiTheme="minorHAnsi" w:cs="Calibri"/>
                <w:sz w:val="16"/>
                <w:szCs w:val="16"/>
                <w:lang w:val="en-US"/>
              </w:rPr>
            </w:pPr>
            <w:r w:rsidRPr="006406B6">
              <w:rPr>
                <w:rFonts w:asciiTheme="minorHAnsi" w:eastAsia="Times New Roman" w:hAnsiTheme="minorHAnsi" w:cs="Calibri"/>
                <w:sz w:val="16"/>
                <w:szCs w:val="16"/>
                <w:lang w:val="en-US"/>
              </w:rPr>
              <w:t>controlled person;</w:t>
            </w:r>
          </w:p>
          <w:p w14:paraId="31170084" w14:textId="77777777" w:rsidR="00432CAD" w:rsidRPr="006406B6" w:rsidRDefault="00432CAD" w:rsidP="00432CAD">
            <w:pPr>
              <w:pStyle w:val="ListParagraph"/>
              <w:numPr>
                <w:ilvl w:val="0"/>
                <w:numId w:val="16"/>
              </w:numPr>
              <w:spacing w:before="120"/>
              <w:ind w:left="1163" w:hanging="425"/>
              <w:rPr>
                <w:rFonts w:asciiTheme="minorHAnsi" w:eastAsia="Times New Roman" w:hAnsiTheme="minorHAnsi" w:cs="Calibri"/>
                <w:sz w:val="16"/>
                <w:szCs w:val="16"/>
                <w:lang w:val="en-US"/>
              </w:rPr>
            </w:pPr>
            <w:r w:rsidRPr="006406B6">
              <w:rPr>
                <w:rFonts w:asciiTheme="minorHAnsi" w:eastAsia="Times New Roman" w:hAnsiTheme="minorHAnsi" w:cs="Calibri"/>
                <w:sz w:val="16"/>
                <w:szCs w:val="16"/>
                <w:lang w:val="en-US"/>
              </w:rPr>
              <w:t>person controlled by Tenant’s controlling person, as these persons are defined in Section 66a of the Commercial Code;</w:t>
            </w:r>
          </w:p>
          <w:p w14:paraId="5A7B99C6" w14:textId="77777777" w:rsidR="00432CAD" w:rsidRPr="006406B6" w:rsidRDefault="00432CAD" w:rsidP="00432CAD">
            <w:pPr>
              <w:pStyle w:val="ListParagraph"/>
              <w:numPr>
                <w:ilvl w:val="0"/>
                <w:numId w:val="16"/>
              </w:numPr>
              <w:spacing w:before="120"/>
              <w:ind w:left="1163" w:hanging="425"/>
              <w:rPr>
                <w:rFonts w:asciiTheme="minorHAnsi" w:eastAsia="Times New Roman" w:hAnsiTheme="minorHAnsi" w:cs="Calibri"/>
                <w:sz w:val="16"/>
                <w:szCs w:val="16"/>
                <w:lang w:val="en-US"/>
              </w:rPr>
            </w:pPr>
            <w:r w:rsidRPr="006406B6">
              <w:rPr>
                <w:rFonts w:asciiTheme="minorHAnsi" w:eastAsia="Times New Roman" w:hAnsiTheme="minorHAnsi" w:cs="Calibri"/>
                <w:sz w:val="16"/>
                <w:szCs w:val="16"/>
                <w:lang w:val="en-US"/>
              </w:rPr>
              <w:t>in any other manner affiliated person;</w:t>
            </w:r>
          </w:p>
          <w:p w14:paraId="52C72841" w14:textId="77777777" w:rsidR="00432CAD" w:rsidRPr="006406B6" w:rsidRDefault="00432CAD" w:rsidP="00432CAD">
            <w:pPr>
              <w:pStyle w:val="ListParagraph"/>
              <w:numPr>
                <w:ilvl w:val="0"/>
                <w:numId w:val="16"/>
              </w:numPr>
              <w:spacing w:before="120"/>
              <w:ind w:left="1163" w:hanging="425"/>
              <w:rPr>
                <w:rFonts w:asciiTheme="minorHAnsi" w:eastAsia="Times New Roman" w:hAnsiTheme="minorHAnsi" w:cs="Calibri"/>
                <w:sz w:val="16"/>
                <w:szCs w:val="16"/>
                <w:lang w:val="en-US"/>
              </w:rPr>
            </w:pPr>
            <w:r w:rsidRPr="006406B6">
              <w:rPr>
                <w:rFonts w:asciiTheme="minorHAnsi" w:eastAsia="Times New Roman" w:hAnsiTheme="minorHAnsi" w:cs="Calibri"/>
                <w:sz w:val="16"/>
                <w:szCs w:val="16"/>
                <w:lang w:val="en-US"/>
              </w:rPr>
              <w:t>cooperated person on regular/non-regular periodicity;</w:t>
            </w:r>
          </w:p>
          <w:p w14:paraId="3D6031F6" w14:textId="77777777" w:rsidR="00432CAD" w:rsidRPr="006406B6" w:rsidRDefault="00432CAD" w:rsidP="00432CAD">
            <w:pPr>
              <w:pStyle w:val="ListParagraph"/>
              <w:numPr>
                <w:ilvl w:val="0"/>
                <w:numId w:val="16"/>
              </w:numPr>
              <w:spacing w:before="120"/>
              <w:ind w:left="1163" w:hanging="425"/>
              <w:rPr>
                <w:rFonts w:asciiTheme="minorHAnsi" w:eastAsia="Times New Roman" w:hAnsiTheme="minorHAnsi" w:cs="Calibri"/>
                <w:sz w:val="16"/>
                <w:szCs w:val="16"/>
                <w:lang w:val="en-US"/>
              </w:rPr>
            </w:pPr>
            <w:r w:rsidRPr="006406B6">
              <w:rPr>
                <w:rFonts w:asciiTheme="minorHAnsi" w:eastAsia="Times New Roman" w:hAnsiTheme="minorHAnsi" w:cs="Calibri"/>
                <w:sz w:val="16"/>
                <w:szCs w:val="16"/>
                <w:lang w:val="en-US"/>
              </w:rPr>
              <w:tab/>
              <w:t>clients, customers and/or business partners; or</w:t>
            </w:r>
          </w:p>
          <w:p w14:paraId="2E6976DF" w14:textId="77777777" w:rsidR="00432CAD" w:rsidRPr="006406B6" w:rsidRDefault="00432CAD" w:rsidP="00432CAD">
            <w:pPr>
              <w:pStyle w:val="ListParagraph"/>
              <w:numPr>
                <w:ilvl w:val="0"/>
                <w:numId w:val="16"/>
              </w:numPr>
              <w:spacing w:before="120"/>
              <w:ind w:left="1163" w:hanging="425"/>
              <w:rPr>
                <w:rFonts w:asciiTheme="minorHAnsi" w:eastAsia="Times New Roman" w:hAnsiTheme="minorHAnsi" w:cs="Calibri"/>
                <w:b/>
                <w:sz w:val="16"/>
                <w:szCs w:val="16"/>
                <w:lang w:val="en-US"/>
              </w:rPr>
            </w:pPr>
            <w:r w:rsidRPr="006406B6">
              <w:rPr>
                <w:rFonts w:asciiTheme="minorHAnsi" w:eastAsia="Times New Roman" w:hAnsiTheme="minorHAnsi" w:cs="Calibri"/>
                <w:sz w:val="16"/>
                <w:szCs w:val="16"/>
                <w:lang w:val="en-US"/>
              </w:rPr>
              <w:t>other independent persons.</w:t>
            </w:r>
          </w:p>
          <w:p w14:paraId="1F020DF3" w14:textId="77777777" w:rsidR="00432CAD" w:rsidRPr="006406B6" w:rsidRDefault="00432CAD" w:rsidP="002F2988">
            <w:pPr>
              <w:spacing w:before="120"/>
              <w:ind w:left="360"/>
              <w:rPr>
                <w:rFonts w:asciiTheme="minorHAnsi" w:eastAsia="Times New Roman" w:hAnsiTheme="minorHAnsi" w:cs="Calibri"/>
                <w:b/>
                <w:sz w:val="16"/>
                <w:szCs w:val="16"/>
                <w:u w:val="single"/>
                <w:lang w:val="en-US"/>
              </w:rPr>
            </w:pPr>
            <w:r w:rsidRPr="00BE3D96">
              <w:rPr>
                <w:rFonts w:asciiTheme="minorHAnsi" w:hAnsiTheme="minorHAnsi"/>
                <w:sz w:val="16"/>
                <w:szCs w:val="16"/>
                <w:lang w:val="en-US"/>
              </w:rPr>
              <w:t xml:space="preserve">The amount of a fee for Services and the charge/charges for the Mailing Box (“Charge”) are governed by the Price List attached to the Agreement as Annex No. 3. The Lessor is entitled to unilaterally modify the Price List. Such modification shall become effective on the date when the notification thereof is delivered to the Tenant.  The Tenant shall pay the </w:t>
            </w:r>
            <w:r w:rsidRPr="00BE3D96">
              <w:rPr>
                <w:rFonts w:asciiTheme="minorHAnsi" w:hAnsiTheme="minorHAnsi"/>
                <w:sz w:val="16"/>
                <w:szCs w:val="16"/>
                <w:lang w:val="en-US"/>
              </w:rPr>
              <w:lastRenderedPageBreak/>
              <w:t>Charge on the basis of an invoice issued by the Lessor, quarterly in advance, as of the December 15</w:t>
            </w:r>
            <w:r w:rsidRPr="00BE3D96">
              <w:rPr>
                <w:rFonts w:asciiTheme="minorHAnsi" w:hAnsiTheme="minorHAnsi"/>
                <w:sz w:val="16"/>
                <w:szCs w:val="16"/>
                <w:vertAlign w:val="superscript"/>
                <w:lang w:val="en-US"/>
              </w:rPr>
              <w:t>th</w:t>
            </w:r>
            <w:r w:rsidRPr="00BE3D96">
              <w:rPr>
                <w:rFonts w:asciiTheme="minorHAnsi" w:hAnsiTheme="minorHAnsi"/>
                <w:sz w:val="16"/>
                <w:szCs w:val="16"/>
                <w:lang w:val="en-US"/>
              </w:rPr>
              <w:t xml:space="preserve"> and June 15</w:t>
            </w:r>
            <w:r w:rsidRPr="00BE3D96">
              <w:rPr>
                <w:rFonts w:asciiTheme="minorHAnsi" w:hAnsiTheme="minorHAnsi"/>
                <w:sz w:val="16"/>
                <w:szCs w:val="16"/>
                <w:vertAlign w:val="superscript"/>
                <w:lang w:val="en-US"/>
              </w:rPr>
              <w:t>th</w:t>
            </w:r>
            <w:r w:rsidRPr="00BE3D96">
              <w:rPr>
                <w:rFonts w:asciiTheme="minorHAnsi" w:hAnsiTheme="minorHAnsi"/>
                <w:sz w:val="16"/>
                <w:szCs w:val="16"/>
                <w:lang w:val="en-US"/>
              </w:rPr>
              <w:t xml:space="preserve"> for each calendar half year, for which the Charge shall be payable, to the account of the Lessor No. SK49 0200 0000 0000 0171 2958 or to any such other account</w:t>
            </w:r>
            <w:r w:rsidRPr="006406B6">
              <w:rPr>
                <w:rFonts w:asciiTheme="minorHAnsi" w:hAnsiTheme="minorHAnsi"/>
                <w:sz w:val="16"/>
                <w:szCs w:val="16"/>
                <w:lang w:val="en-US"/>
              </w:rPr>
              <w:t xml:space="preserve"> held in a bank or a bank branch in the Slovak Republic as may be designated by the Lessor in writing.</w:t>
            </w:r>
            <w:r w:rsidRPr="006406B6">
              <w:t xml:space="preserve"> </w:t>
            </w:r>
            <w:r w:rsidRPr="006406B6">
              <w:rPr>
                <w:rFonts w:asciiTheme="minorHAnsi" w:hAnsiTheme="minorHAnsi"/>
                <w:sz w:val="16"/>
                <w:szCs w:val="16"/>
                <w:lang w:val="en-US"/>
              </w:rPr>
              <w:t xml:space="preserve">The Tenant is obliged to inform the Lessor to change/cancel the Services and/or Mailing Box at least 15 days before the date of issue of the invoice in accordance with the previous sentence of this paragraph. The Parties agreed that in case of termination of the Agreement and/or termination of the Mailing Box during any calendar half year, the Customer is not entitled to the refund of an aliquot part of the Charge from the termination of the Agreement and/or termination of the Mailing Box till the end of respective calendar half year. </w:t>
            </w:r>
          </w:p>
        </w:tc>
        <w:tc>
          <w:tcPr>
            <w:tcW w:w="4649" w:type="dxa"/>
          </w:tcPr>
          <w:p w14:paraId="2CDDDAF3" w14:textId="77777777" w:rsidR="00432CAD" w:rsidRPr="006406B6" w:rsidRDefault="00432CAD" w:rsidP="002F2988">
            <w:pPr>
              <w:numPr>
                <w:ilvl w:val="0"/>
                <w:numId w:val="11"/>
              </w:numPr>
              <w:tabs>
                <w:tab w:val="clear" w:pos="720"/>
              </w:tabs>
              <w:spacing w:before="120"/>
              <w:ind w:left="341" w:hanging="341"/>
              <w:rPr>
                <w:rFonts w:asciiTheme="minorHAnsi" w:eastAsia="Times New Roman" w:hAnsiTheme="minorHAnsi" w:cs="Calibri"/>
                <w:sz w:val="16"/>
                <w:szCs w:val="16"/>
              </w:rPr>
            </w:pPr>
            <w:r w:rsidRPr="006406B6">
              <w:rPr>
                <w:rFonts w:asciiTheme="minorHAnsi" w:eastAsia="Times New Roman" w:hAnsiTheme="minorHAnsi" w:cs="Calibri"/>
                <w:b/>
                <w:sz w:val="16"/>
                <w:szCs w:val="16"/>
                <w:u w:val="single"/>
              </w:rPr>
              <w:lastRenderedPageBreak/>
              <w:t>Registrácia sídla</w:t>
            </w:r>
            <w:r w:rsidRPr="006406B6">
              <w:rPr>
                <w:rFonts w:asciiTheme="minorHAnsi" w:eastAsia="Times New Roman" w:hAnsiTheme="minorHAnsi" w:cs="Calibri"/>
                <w:b/>
                <w:sz w:val="16"/>
                <w:szCs w:val="16"/>
              </w:rPr>
              <w:t xml:space="preserve">. </w:t>
            </w:r>
            <w:r w:rsidRPr="006406B6">
              <w:rPr>
                <w:rFonts w:asciiTheme="minorHAnsi" w:eastAsia="Times New Roman" w:hAnsiTheme="minorHAnsi" w:cs="Calibri"/>
                <w:sz w:val="16"/>
                <w:szCs w:val="16"/>
              </w:rPr>
              <w:t>Prenajímateľ poskytne Nájomcovi služby súvisiace so zriadením sídla/korešpondenčnej adresy („Služby“) na adrese Budovy na základe Prenajímateľovho písomného súhlasu</w:t>
            </w:r>
            <w:r w:rsidRPr="006406B6" w:rsidDel="0030050F">
              <w:rPr>
                <w:rFonts w:asciiTheme="minorHAnsi" w:eastAsia="Times New Roman" w:hAnsiTheme="minorHAnsi" w:cs="Calibri"/>
                <w:sz w:val="16"/>
                <w:szCs w:val="16"/>
              </w:rPr>
              <w:t xml:space="preserve"> </w:t>
            </w:r>
            <w:r w:rsidRPr="006406B6">
              <w:rPr>
                <w:rFonts w:asciiTheme="minorHAnsi" w:eastAsia="Times New Roman" w:hAnsiTheme="minorHAnsi" w:cs="Calibri"/>
                <w:sz w:val="16"/>
                <w:szCs w:val="16"/>
              </w:rPr>
              <w:t>pričom Nájomca je povinný zaplatiť Prenajímateľovi za Služby dohodnutú odmenu. Prenajímateľ umožní Nájomcovi zriadiť si aj samostatnú poštovú schránku/zdieľanú poštovú schránku („Schránku“) za účelom doručovania poštových zásielok a korešpondencie a pričom Nájomca je povinný zaplatiť Prenajímateľovi za Schránku dohodnutý poplatok. Strany sa dohodli, že Prenajímateľ bude poskytovať Služby Nájomcovi ako aj iným subjektom, ktoré vo vzťahu k Nájomcovi sú jeho:</w:t>
            </w:r>
            <w:r w:rsidRPr="006406B6">
              <w:t xml:space="preserve"> </w:t>
            </w:r>
            <w:r w:rsidRPr="006406B6">
              <w:rPr>
                <w:rFonts w:asciiTheme="minorHAnsi" w:eastAsia="Times New Roman" w:hAnsiTheme="minorHAnsi" w:cs="Calibri"/>
                <w:sz w:val="16"/>
                <w:szCs w:val="16"/>
              </w:rPr>
              <w:t>ovládajúcou osobou;</w:t>
            </w:r>
          </w:p>
          <w:p w14:paraId="5625748B" w14:textId="77777777" w:rsidR="00432CAD" w:rsidRPr="006406B6" w:rsidRDefault="00432CAD" w:rsidP="00432CAD">
            <w:pPr>
              <w:pStyle w:val="ListParagraph"/>
              <w:numPr>
                <w:ilvl w:val="0"/>
                <w:numId w:val="15"/>
              </w:numPr>
              <w:spacing w:before="120"/>
              <w:rPr>
                <w:rFonts w:asciiTheme="minorHAnsi" w:eastAsia="Times New Roman" w:hAnsiTheme="minorHAnsi" w:cs="Calibri"/>
                <w:sz w:val="16"/>
                <w:szCs w:val="16"/>
              </w:rPr>
            </w:pPr>
            <w:r w:rsidRPr="006406B6">
              <w:rPr>
                <w:rFonts w:asciiTheme="minorHAnsi" w:eastAsia="Times New Roman" w:hAnsiTheme="minorHAnsi" w:cs="Calibri"/>
                <w:sz w:val="16"/>
                <w:szCs w:val="16"/>
              </w:rPr>
              <w:t xml:space="preserve">ovládanou osobou; </w:t>
            </w:r>
          </w:p>
          <w:p w14:paraId="75F4D148" w14:textId="77777777" w:rsidR="00432CAD" w:rsidRPr="006406B6" w:rsidRDefault="00432CAD" w:rsidP="00432CAD">
            <w:pPr>
              <w:pStyle w:val="ListParagraph"/>
              <w:numPr>
                <w:ilvl w:val="0"/>
                <w:numId w:val="15"/>
              </w:numPr>
              <w:spacing w:before="120"/>
              <w:rPr>
                <w:rFonts w:asciiTheme="minorHAnsi" w:eastAsia="Times New Roman" w:hAnsiTheme="minorHAnsi" w:cs="Calibri"/>
                <w:sz w:val="16"/>
                <w:szCs w:val="16"/>
              </w:rPr>
            </w:pPr>
            <w:r w:rsidRPr="006406B6">
              <w:rPr>
                <w:rFonts w:asciiTheme="minorHAnsi" w:eastAsia="Times New Roman" w:hAnsiTheme="minorHAnsi" w:cs="Calibri"/>
                <w:sz w:val="16"/>
                <w:szCs w:val="16"/>
              </w:rPr>
              <w:t>osobou ovládanou Nájomcovou ovládajúcou osobou, tak ako sú tieto osoby bližšie špecifikované v § 66a Obchodného zákonníka;</w:t>
            </w:r>
          </w:p>
          <w:p w14:paraId="4C0DC0B9" w14:textId="77777777" w:rsidR="00432CAD" w:rsidRPr="006406B6" w:rsidRDefault="00432CAD" w:rsidP="00432CAD">
            <w:pPr>
              <w:pStyle w:val="ListParagraph"/>
              <w:numPr>
                <w:ilvl w:val="0"/>
                <w:numId w:val="15"/>
              </w:numPr>
              <w:spacing w:before="120"/>
              <w:rPr>
                <w:rFonts w:asciiTheme="minorHAnsi" w:eastAsia="Times New Roman" w:hAnsiTheme="minorHAnsi" w:cs="Calibri"/>
                <w:sz w:val="16"/>
                <w:szCs w:val="16"/>
              </w:rPr>
            </w:pPr>
            <w:r w:rsidRPr="006406B6">
              <w:rPr>
                <w:rFonts w:asciiTheme="minorHAnsi" w:eastAsia="Times New Roman" w:hAnsiTheme="minorHAnsi" w:cs="Calibri"/>
                <w:sz w:val="16"/>
                <w:szCs w:val="16"/>
              </w:rPr>
              <w:t>akýmkoľvek iným spôsobom spriaznenou osobou;</w:t>
            </w:r>
          </w:p>
          <w:p w14:paraId="46A765EE" w14:textId="77777777" w:rsidR="00432CAD" w:rsidRPr="006406B6" w:rsidRDefault="00432CAD" w:rsidP="00432CAD">
            <w:pPr>
              <w:pStyle w:val="ListParagraph"/>
              <w:numPr>
                <w:ilvl w:val="0"/>
                <w:numId w:val="15"/>
              </w:numPr>
              <w:spacing w:before="120"/>
              <w:rPr>
                <w:rFonts w:asciiTheme="minorHAnsi" w:eastAsia="Times New Roman" w:hAnsiTheme="minorHAnsi" w:cs="Calibri"/>
                <w:sz w:val="16"/>
                <w:szCs w:val="16"/>
              </w:rPr>
            </w:pPr>
            <w:r w:rsidRPr="006406B6">
              <w:rPr>
                <w:rFonts w:asciiTheme="minorHAnsi" w:eastAsia="Times New Roman" w:hAnsiTheme="minorHAnsi" w:cs="Calibri"/>
                <w:sz w:val="16"/>
                <w:szCs w:val="16"/>
              </w:rPr>
              <w:t>spolupracujúcou osobou na pravidelnej/nepravidelnej periodicite;</w:t>
            </w:r>
          </w:p>
          <w:p w14:paraId="1EFE2472" w14:textId="77777777" w:rsidR="00432CAD" w:rsidRPr="006406B6" w:rsidRDefault="00432CAD" w:rsidP="00432CAD">
            <w:pPr>
              <w:pStyle w:val="ListParagraph"/>
              <w:numPr>
                <w:ilvl w:val="0"/>
                <w:numId w:val="15"/>
              </w:numPr>
              <w:spacing w:before="120"/>
              <w:rPr>
                <w:rFonts w:asciiTheme="minorHAnsi" w:eastAsia="Times New Roman" w:hAnsiTheme="minorHAnsi" w:cs="Calibri"/>
                <w:sz w:val="16"/>
                <w:szCs w:val="16"/>
              </w:rPr>
            </w:pPr>
            <w:r w:rsidRPr="006406B6">
              <w:rPr>
                <w:rFonts w:asciiTheme="minorHAnsi" w:eastAsia="Times New Roman" w:hAnsiTheme="minorHAnsi" w:cs="Calibri"/>
                <w:sz w:val="16"/>
                <w:szCs w:val="16"/>
              </w:rPr>
              <w:t>klientmi, zákazníkmi a/alebo obchodnými partnermi; alebo</w:t>
            </w:r>
          </w:p>
          <w:p w14:paraId="16C8D9BF" w14:textId="77777777" w:rsidR="00432CAD" w:rsidRPr="006406B6" w:rsidRDefault="00432CAD" w:rsidP="00432CAD">
            <w:pPr>
              <w:pStyle w:val="ListParagraph"/>
              <w:numPr>
                <w:ilvl w:val="0"/>
                <w:numId w:val="15"/>
              </w:numPr>
              <w:spacing w:before="120"/>
              <w:rPr>
                <w:rFonts w:asciiTheme="minorHAnsi" w:eastAsia="Times New Roman" w:hAnsiTheme="minorHAnsi" w:cs="Calibri"/>
                <w:sz w:val="16"/>
                <w:szCs w:val="16"/>
              </w:rPr>
            </w:pPr>
            <w:r w:rsidRPr="006406B6">
              <w:rPr>
                <w:rFonts w:asciiTheme="minorHAnsi" w:eastAsia="Times New Roman" w:hAnsiTheme="minorHAnsi" w:cs="Calibri"/>
                <w:sz w:val="16"/>
                <w:szCs w:val="16"/>
              </w:rPr>
              <w:t>iné nezávislé osoby.</w:t>
            </w:r>
          </w:p>
          <w:p w14:paraId="32562DEF" w14:textId="77777777" w:rsidR="00432CAD" w:rsidRPr="00EB5438" w:rsidRDefault="00432CAD" w:rsidP="002F2988">
            <w:pPr>
              <w:spacing w:before="120"/>
              <w:ind w:left="341"/>
              <w:rPr>
                <w:rFonts w:asciiTheme="minorHAnsi" w:eastAsia="Times New Roman" w:hAnsiTheme="minorHAnsi" w:cs="Calibri"/>
                <w:b/>
                <w:sz w:val="16"/>
                <w:szCs w:val="16"/>
                <w:u w:val="single"/>
              </w:rPr>
            </w:pPr>
            <w:r w:rsidRPr="006406B6">
              <w:rPr>
                <w:rFonts w:asciiTheme="minorHAnsi" w:eastAsia="Times New Roman" w:hAnsiTheme="minorHAnsi" w:cs="Calibri"/>
                <w:sz w:val="16"/>
                <w:szCs w:val="16"/>
              </w:rPr>
              <w:t>Výška odmeny za poskytnutie Služby a poplatku/poplatkov za Schránku („Poplatok“) sa spravujú cenníkom, ktorý ako Príloha č. 3 tvorí neoddeliteľnú súčasť Zmluvy.</w:t>
            </w:r>
            <w:r w:rsidRPr="006406B6" w:rsidDel="0030050F">
              <w:rPr>
                <w:rFonts w:asciiTheme="minorHAnsi" w:eastAsia="Times New Roman" w:hAnsiTheme="minorHAnsi" w:cs="Calibri"/>
                <w:b/>
                <w:sz w:val="16"/>
                <w:szCs w:val="16"/>
              </w:rPr>
              <w:t xml:space="preserve"> </w:t>
            </w:r>
            <w:r w:rsidRPr="00BE3D96">
              <w:rPr>
                <w:rFonts w:asciiTheme="minorHAnsi" w:eastAsia="Times New Roman" w:hAnsiTheme="minorHAnsi" w:cs="Calibri"/>
                <w:sz w:val="16"/>
                <w:szCs w:val="16"/>
              </w:rPr>
              <w:t xml:space="preserve">Prenajímateľ môže Cenník jednostranne meniť. Táto zmena nadobudne účinnosť </w:t>
            </w:r>
            <w:r w:rsidRPr="00BE3D96">
              <w:rPr>
                <w:rFonts w:asciiTheme="minorHAnsi" w:eastAsia="Times New Roman" w:hAnsiTheme="minorHAnsi" w:cs="Calibri"/>
                <w:sz w:val="16"/>
                <w:szCs w:val="16"/>
              </w:rPr>
              <w:lastRenderedPageBreak/>
              <w:t>dňom doručenia oznámenia na adresu Nájomcu.</w:t>
            </w:r>
            <w:r>
              <w:rPr>
                <w:rFonts w:asciiTheme="minorHAnsi" w:eastAsia="Times New Roman" w:hAnsiTheme="minorHAnsi" w:cs="Calibri"/>
                <w:b/>
                <w:sz w:val="16"/>
                <w:szCs w:val="16"/>
              </w:rPr>
              <w:t xml:space="preserve"> </w:t>
            </w:r>
            <w:r w:rsidRPr="006406B6">
              <w:rPr>
                <w:rFonts w:asciiTheme="minorHAnsi" w:eastAsia="Times New Roman" w:hAnsiTheme="minorHAnsi" w:cs="Calibri"/>
                <w:sz w:val="16"/>
                <w:szCs w:val="16"/>
              </w:rPr>
              <w:t xml:space="preserve">Poplatok bude Nájomcom uhradený na základe faktúry vystavenej Prenajímateľom, polročne vopred, vždy k 15.12 a 15.06 príslušného kalendárneho roka, za ktorý sa Poplatok má uhradiť, na účet Prenajímateľa č. SK49 0200 0000 0000 0171 2958 alebo na akýkoľvek taký iný účet vedený v banke resp. pobočke banky v Slovenskej republike, ktorý môže byť písomne určený Prenajímateľom. Nájomca je povinný informovať Prenajímateľa o zmene/zrušení Služby a/alebo Schránky najneskôr 15 dní pred dátumom vystavenia faktúry podľa predchádzajúcej vety odseku. Strany sa dohodli, že v prípade skončenia Zmluvy a/alebo zrušenia Schránky v priebehu jednotlivého kalendárneho polroka nemá Nájomca nárok na vrátenie alikvotnej časti Poplatku od skončenia Zmluvy a/alebo zrušenia Schránky do konca príslušného kalendárneho polroka. </w:t>
            </w:r>
          </w:p>
        </w:tc>
      </w:tr>
      <w:tr w:rsidR="00432CAD" w:rsidRPr="009E2454" w14:paraId="1DB8EA04" w14:textId="77777777" w:rsidTr="002F2988">
        <w:tc>
          <w:tcPr>
            <w:tcW w:w="4649" w:type="dxa"/>
          </w:tcPr>
          <w:p w14:paraId="6A128389" w14:textId="77777777" w:rsidR="00432CAD" w:rsidRPr="009E2454" w:rsidRDefault="00432CAD" w:rsidP="002F2988">
            <w:pPr>
              <w:spacing w:before="120"/>
              <w:jc w:val="center"/>
              <w:rPr>
                <w:rFonts w:ascii="Calibri" w:eastAsia="Times New Roman" w:hAnsi="Calibri" w:cs="Calibri"/>
                <w:b/>
                <w:caps/>
                <w:sz w:val="16"/>
                <w:szCs w:val="16"/>
                <w:lang w:val="en-US"/>
              </w:rPr>
            </w:pPr>
            <w:r w:rsidRPr="009E2454">
              <w:rPr>
                <w:rFonts w:ascii="Calibri" w:eastAsia="Times New Roman" w:hAnsi="Calibri" w:cs="Calibri"/>
                <w:b/>
                <w:caps/>
                <w:sz w:val="16"/>
                <w:szCs w:val="16"/>
                <w:lang w:val="en-US"/>
              </w:rPr>
              <w:lastRenderedPageBreak/>
              <w:t>IV. Termination</w:t>
            </w:r>
          </w:p>
        </w:tc>
        <w:tc>
          <w:tcPr>
            <w:tcW w:w="4649" w:type="dxa"/>
          </w:tcPr>
          <w:p w14:paraId="634D0B57" w14:textId="77777777" w:rsidR="00432CAD" w:rsidRPr="009E2454" w:rsidRDefault="00432CAD" w:rsidP="002F2988">
            <w:pPr>
              <w:spacing w:before="120"/>
              <w:jc w:val="center"/>
              <w:rPr>
                <w:rFonts w:ascii="Calibri" w:eastAsia="Times New Roman" w:hAnsi="Calibri" w:cs="Calibri"/>
                <w:b/>
                <w:caps/>
                <w:sz w:val="16"/>
                <w:szCs w:val="16"/>
              </w:rPr>
            </w:pPr>
            <w:r w:rsidRPr="009E2454">
              <w:rPr>
                <w:rFonts w:ascii="Calibri" w:eastAsia="Times New Roman" w:hAnsi="Calibri" w:cs="Calibri"/>
                <w:b/>
                <w:caps/>
                <w:sz w:val="16"/>
                <w:szCs w:val="16"/>
              </w:rPr>
              <w:t>IV. Ukončenie</w:t>
            </w:r>
          </w:p>
        </w:tc>
      </w:tr>
      <w:tr w:rsidR="00432CAD" w:rsidRPr="009E2454" w14:paraId="24C45C4F" w14:textId="77777777" w:rsidTr="002F2988">
        <w:trPr>
          <w:trHeight w:val="945"/>
        </w:trPr>
        <w:tc>
          <w:tcPr>
            <w:tcW w:w="4649" w:type="dxa"/>
          </w:tcPr>
          <w:p w14:paraId="59F65406" w14:textId="77777777" w:rsidR="00432CAD" w:rsidRPr="009E2454" w:rsidRDefault="00432CAD" w:rsidP="002F2988">
            <w:pPr>
              <w:numPr>
                <w:ilvl w:val="0"/>
                <w:numId w:val="7"/>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Termination Period</w:t>
            </w:r>
            <w:r w:rsidRPr="009E2454">
              <w:rPr>
                <w:rFonts w:ascii="Calibri" w:eastAsia="Times New Roman" w:hAnsi="Calibri" w:cs="Calibri"/>
                <w:b/>
                <w:sz w:val="16"/>
                <w:szCs w:val="16"/>
                <w:lang w:val="en-US"/>
              </w:rPr>
              <w:t>.</w:t>
            </w:r>
            <w:r w:rsidRPr="009E2454">
              <w:rPr>
                <w:rFonts w:ascii="Calibri" w:eastAsia="Times New Roman" w:hAnsi="Calibri" w:cs="Calibri"/>
                <w:sz w:val="16"/>
                <w:szCs w:val="16"/>
                <w:lang w:val="en-US"/>
              </w:rPr>
              <w:t xml:space="preserve"> </w:t>
            </w:r>
            <w:r w:rsidRPr="009E2454">
              <w:rPr>
                <w:rFonts w:ascii="Calibri" w:eastAsia="Times New Roman" w:hAnsi="Calibri" w:cs="Calibri"/>
                <w:bCs/>
                <w:sz w:val="16"/>
                <w:szCs w:val="16"/>
                <w:lang w:val="en-US"/>
              </w:rPr>
              <w:t>The notice period shall be three (3) months and shall start as of the first day of the calendar month following the date of delivery of the notice of termination to the other party.</w:t>
            </w:r>
          </w:p>
        </w:tc>
        <w:tc>
          <w:tcPr>
            <w:tcW w:w="4649" w:type="dxa"/>
          </w:tcPr>
          <w:p w14:paraId="5A024956" w14:textId="77777777" w:rsidR="00432CAD" w:rsidRPr="00CC1C1C" w:rsidRDefault="00432CAD" w:rsidP="002F2988">
            <w:pPr>
              <w:numPr>
                <w:ilvl w:val="0"/>
                <w:numId w:val="12"/>
              </w:numPr>
              <w:tabs>
                <w:tab w:val="num" w:pos="391"/>
              </w:tabs>
              <w:spacing w:before="120"/>
              <w:ind w:left="391"/>
              <w:rPr>
                <w:rFonts w:asciiTheme="minorHAnsi" w:eastAsia="Times New Roman" w:hAnsiTheme="minorHAnsi" w:cs="Calibri"/>
                <w:sz w:val="16"/>
                <w:szCs w:val="16"/>
              </w:rPr>
            </w:pPr>
            <w:r w:rsidRPr="00DA547F">
              <w:rPr>
                <w:rFonts w:asciiTheme="minorHAnsi" w:eastAsia="Times New Roman" w:hAnsiTheme="minorHAnsi" w:cs="Calibri"/>
                <w:b/>
                <w:sz w:val="16"/>
                <w:szCs w:val="16"/>
                <w:u w:val="single"/>
              </w:rPr>
              <w:t>Výpovedná doba.</w:t>
            </w:r>
            <w:r w:rsidRPr="00DA547F">
              <w:rPr>
                <w:rFonts w:asciiTheme="minorHAnsi" w:eastAsia="Times New Roman" w:hAnsiTheme="minorHAnsi" w:cs="Calibri"/>
                <w:sz w:val="16"/>
                <w:szCs w:val="16"/>
              </w:rPr>
              <w:t xml:space="preserve"> Výpovedná doba je tri (3) mesiace a začína plynúť od prvého dňa kalendárneho mesiaca, ktorý nasleduje po dni doručenia výpovede druhej strane.</w:t>
            </w:r>
          </w:p>
        </w:tc>
      </w:tr>
      <w:tr w:rsidR="00432CAD" w:rsidRPr="009E2454" w14:paraId="574794FA" w14:textId="77777777" w:rsidTr="002F2988">
        <w:trPr>
          <w:trHeight w:val="2586"/>
        </w:trPr>
        <w:tc>
          <w:tcPr>
            <w:tcW w:w="4649" w:type="dxa"/>
          </w:tcPr>
          <w:p w14:paraId="1C16040A" w14:textId="77777777" w:rsidR="00432CAD" w:rsidRPr="00360DD5" w:rsidRDefault="00432CAD" w:rsidP="002F2988">
            <w:pPr>
              <w:numPr>
                <w:ilvl w:val="0"/>
                <w:numId w:val="7"/>
              </w:numPr>
              <w:spacing w:before="120"/>
              <w:rPr>
                <w:rFonts w:ascii="Calibri" w:eastAsia="Times New Roman" w:hAnsi="Calibri" w:cs="Calibri"/>
                <w:b/>
                <w:sz w:val="16"/>
                <w:szCs w:val="16"/>
                <w:u w:val="single"/>
                <w:lang w:val="en-US"/>
              </w:rPr>
            </w:pPr>
            <w:r w:rsidRPr="00360DD5">
              <w:rPr>
                <w:rFonts w:ascii="Calibri" w:eastAsia="Times New Roman" w:hAnsi="Calibri" w:cs="Calibri"/>
                <w:b/>
                <w:sz w:val="16"/>
                <w:szCs w:val="16"/>
                <w:u w:val="single"/>
                <w:lang w:val="en-US"/>
              </w:rPr>
              <w:t xml:space="preserve">Withdrawal. </w:t>
            </w:r>
            <w:r w:rsidRPr="00360DD5">
              <w:rPr>
                <w:rFonts w:ascii="Calibri" w:eastAsia="Times New Roman" w:hAnsi="Calibri" w:cs="Calibri"/>
                <w:sz w:val="16"/>
                <w:szCs w:val="16"/>
                <w:lang w:val="en-US"/>
              </w:rPr>
              <w:t xml:space="preserve">If the Tenant has not paid the due rent in full </w:t>
            </w:r>
            <w:r>
              <w:rPr>
                <w:rFonts w:ascii="Calibri" w:eastAsia="Times New Roman" w:hAnsi="Calibri" w:cs="Calibri"/>
                <w:sz w:val="16"/>
                <w:szCs w:val="16"/>
                <w:lang w:val="en-US"/>
              </w:rPr>
              <w:t xml:space="preserve">by </w:t>
            </w:r>
            <w:r w:rsidRPr="00360DD5">
              <w:rPr>
                <w:rFonts w:ascii="Calibri" w:eastAsia="Times New Roman" w:hAnsi="Calibri" w:cs="Calibri"/>
                <w:sz w:val="16"/>
                <w:szCs w:val="16"/>
                <w:lang w:val="en-US"/>
              </w:rPr>
              <w:t xml:space="preserve">31 (thirty-one) calendar days from the due date, despite the previous </w:t>
            </w:r>
            <w:r>
              <w:rPr>
                <w:rFonts w:ascii="Calibri" w:eastAsia="Times New Roman" w:hAnsi="Calibri" w:cs="Calibri"/>
                <w:sz w:val="16"/>
                <w:szCs w:val="16"/>
                <w:lang w:val="en-US"/>
              </w:rPr>
              <w:t xml:space="preserve">Lessor´s </w:t>
            </w:r>
            <w:r w:rsidRPr="00360DD5">
              <w:rPr>
                <w:rFonts w:ascii="Calibri" w:eastAsia="Times New Roman" w:hAnsi="Calibri" w:cs="Calibri"/>
                <w:sz w:val="16"/>
                <w:szCs w:val="16"/>
                <w:lang w:val="en-US"/>
              </w:rPr>
              <w:t>written request, delivered</w:t>
            </w:r>
            <w:r>
              <w:rPr>
                <w:rFonts w:ascii="Calibri" w:eastAsia="Times New Roman" w:hAnsi="Calibri" w:cs="Calibri"/>
                <w:sz w:val="16"/>
                <w:szCs w:val="16"/>
                <w:lang w:val="en-US"/>
              </w:rPr>
              <w:t xml:space="preserve"> to the Tenant</w:t>
            </w:r>
            <w:r w:rsidRPr="00360DD5">
              <w:rPr>
                <w:rFonts w:ascii="Calibri" w:eastAsia="Times New Roman" w:hAnsi="Calibri" w:cs="Calibri"/>
                <w:sz w:val="16"/>
                <w:szCs w:val="16"/>
                <w:lang w:val="en-US"/>
              </w:rPr>
              <w:t xml:space="preserve"> by mail or other agreed delivery method, </w:t>
            </w:r>
            <w:r>
              <w:rPr>
                <w:rFonts w:ascii="Calibri" w:eastAsia="Times New Roman" w:hAnsi="Calibri" w:cs="Calibri"/>
                <w:sz w:val="16"/>
                <w:szCs w:val="16"/>
                <w:lang w:val="en-US"/>
              </w:rPr>
              <w:t xml:space="preserve">is the Lessor </w:t>
            </w:r>
            <w:r w:rsidRPr="00360DD5">
              <w:rPr>
                <w:rFonts w:ascii="Calibri" w:eastAsia="Times New Roman" w:hAnsi="Calibri" w:cs="Calibri"/>
                <w:sz w:val="16"/>
                <w:szCs w:val="16"/>
                <w:lang w:val="en-US"/>
              </w:rPr>
              <w:t xml:space="preserve">entitled to withdraw from </w:t>
            </w:r>
            <w:r>
              <w:rPr>
                <w:rFonts w:ascii="Calibri" w:eastAsia="Times New Roman" w:hAnsi="Calibri" w:cs="Calibri"/>
                <w:sz w:val="16"/>
                <w:szCs w:val="16"/>
                <w:lang w:val="en-US"/>
              </w:rPr>
              <w:t xml:space="preserve">the Agreement </w:t>
            </w:r>
            <w:r w:rsidRPr="00360DD5">
              <w:rPr>
                <w:rFonts w:ascii="Calibri" w:eastAsia="Times New Roman" w:hAnsi="Calibri" w:cs="Calibri"/>
                <w:sz w:val="16"/>
                <w:szCs w:val="16"/>
                <w:lang w:val="en-US"/>
              </w:rPr>
              <w:t>by</w:t>
            </w:r>
            <w:r>
              <w:rPr>
                <w:rFonts w:ascii="Calibri" w:eastAsia="Times New Roman" w:hAnsi="Calibri" w:cs="Calibri"/>
                <w:sz w:val="16"/>
                <w:szCs w:val="16"/>
                <w:lang w:val="en-US"/>
              </w:rPr>
              <w:t xml:space="preserve"> a written notice of withdrawal. The Agreement</w:t>
            </w:r>
            <w:r w:rsidRPr="00C8529B">
              <w:rPr>
                <w:rFonts w:ascii="Calibri" w:eastAsia="Times New Roman" w:hAnsi="Calibri" w:cs="Calibri"/>
                <w:sz w:val="16"/>
                <w:szCs w:val="16"/>
                <w:lang w:val="en-US"/>
              </w:rPr>
              <w:t xml:space="preserve"> is terminated by withdrawal from the </w:t>
            </w:r>
            <w:r>
              <w:rPr>
                <w:rFonts w:ascii="Calibri" w:eastAsia="Times New Roman" w:hAnsi="Calibri" w:cs="Calibri"/>
                <w:sz w:val="16"/>
                <w:szCs w:val="16"/>
                <w:lang w:val="en-US"/>
              </w:rPr>
              <w:t xml:space="preserve">Agreement </w:t>
            </w:r>
            <w:r w:rsidRPr="00C8529B">
              <w:rPr>
                <w:rFonts w:ascii="Calibri" w:eastAsia="Times New Roman" w:hAnsi="Calibri" w:cs="Calibri"/>
                <w:sz w:val="16"/>
                <w:szCs w:val="16"/>
                <w:lang w:val="en-US"/>
              </w:rPr>
              <w:t xml:space="preserve">when the expression of intent of the </w:t>
            </w:r>
            <w:r>
              <w:rPr>
                <w:rFonts w:ascii="Calibri" w:eastAsia="Times New Roman" w:hAnsi="Calibri" w:cs="Calibri"/>
                <w:sz w:val="16"/>
                <w:szCs w:val="16"/>
                <w:lang w:val="en-US"/>
              </w:rPr>
              <w:t xml:space="preserve">Lessor is delivered to the Tenant. By sending the </w:t>
            </w:r>
            <w:r w:rsidRPr="00C8529B">
              <w:rPr>
                <w:rFonts w:ascii="Calibri" w:eastAsia="Times New Roman" w:hAnsi="Calibri" w:cs="Calibri"/>
                <w:sz w:val="16"/>
                <w:szCs w:val="16"/>
                <w:lang w:val="en-US"/>
              </w:rPr>
              <w:t xml:space="preserve">withdrawal from the </w:t>
            </w:r>
            <w:r>
              <w:rPr>
                <w:rFonts w:ascii="Calibri" w:eastAsia="Times New Roman" w:hAnsi="Calibri" w:cs="Calibri"/>
                <w:sz w:val="16"/>
                <w:szCs w:val="16"/>
                <w:lang w:val="en-US"/>
              </w:rPr>
              <w:t xml:space="preserve">Agreement </w:t>
            </w:r>
            <w:r w:rsidRPr="00C8529B">
              <w:rPr>
                <w:rFonts w:ascii="Calibri" w:eastAsia="Times New Roman" w:hAnsi="Calibri" w:cs="Calibri"/>
                <w:sz w:val="16"/>
                <w:szCs w:val="16"/>
                <w:lang w:val="en-US"/>
              </w:rPr>
              <w:t>by post or other agreed delivery method, the Lessor is entitled to prevent access to the Tenant</w:t>
            </w:r>
            <w:r>
              <w:rPr>
                <w:rFonts w:ascii="Calibri" w:eastAsia="Times New Roman" w:hAnsi="Calibri" w:cs="Calibri"/>
                <w:sz w:val="16"/>
                <w:szCs w:val="16"/>
                <w:lang w:val="en-US"/>
              </w:rPr>
              <w:t>´s Premises.</w:t>
            </w:r>
            <w:r w:rsidRPr="00C8529B">
              <w:rPr>
                <w:rFonts w:ascii="Calibri" w:eastAsia="Times New Roman" w:hAnsi="Calibri" w:cs="Calibri"/>
                <w:sz w:val="16"/>
                <w:szCs w:val="16"/>
                <w:lang w:val="en-US"/>
              </w:rPr>
              <w:t xml:space="preserve"> </w:t>
            </w:r>
            <w:r>
              <w:rPr>
                <w:rFonts w:ascii="Calibri" w:eastAsia="Times New Roman" w:hAnsi="Calibri" w:cs="Calibri"/>
                <w:sz w:val="16"/>
                <w:szCs w:val="16"/>
                <w:lang w:val="en-US"/>
              </w:rPr>
              <w:t>T</w:t>
            </w:r>
            <w:r w:rsidRPr="00C8529B">
              <w:rPr>
                <w:rFonts w:ascii="Calibri" w:eastAsia="Times New Roman" w:hAnsi="Calibri" w:cs="Calibri"/>
                <w:sz w:val="16"/>
                <w:szCs w:val="16"/>
                <w:lang w:val="en-US"/>
              </w:rPr>
              <w:t xml:space="preserve">he Tenant </w:t>
            </w:r>
            <w:r>
              <w:rPr>
                <w:rFonts w:ascii="Calibri" w:eastAsia="Times New Roman" w:hAnsi="Calibri" w:cs="Calibri"/>
                <w:sz w:val="16"/>
                <w:szCs w:val="16"/>
                <w:lang w:val="en-US"/>
              </w:rPr>
              <w:t xml:space="preserve">shall </w:t>
            </w:r>
            <w:r w:rsidRPr="00C8529B">
              <w:rPr>
                <w:rFonts w:ascii="Calibri" w:eastAsia="Times New Roman" w:hAnsi="Calibri" w:cs="Calibri"/>
                <w:sz w:val="16"/>
                <w:szCs w:val="16"/>
                <w:lang w:val="en-US"/>
              </w:rPr>
              <w:t xml:space="preserve">be notified in writing </w:t>
            </w:r>
            <w:r>
              <w:rPr>
                <w:rFonts w:ascii="Calibri" w:eastAsia="Times New Roman" w:hAnsi="Calibri" w:cs="Calibri"/>
                <w:sz w:val="16"/>
                <w:szCs w:val="16"/>
                <w:lang w:val="en-US"/>
              </w:rPr>
              <w:t xml:space="preserve">about the prevention of access </w:t>
            </w:r>
            <w:r w:rsidRPr="00C8529B">
              <w:rPr>
                <w:rFonts w:ascii="Calibri" w:eastAsia="Times New Roman" w:hAnsi="Calibri" w:cs="Calibri"/>
                <w:sz w:val="16"/>
                <w:szCs w:val="16"/>
                <w:lang w:val="en-US"/>
              </w:rPr>
              <w:t>according to the previous sentence.</w:t>
            </w:r>
          </w:p>
        </w:tc>
        <w:tc>
          <w:tcPr>
            <w:tcW w:w="4649" w:type="dxa"/>
          </w:tcPr>
          <w:p w14:paraId="13A5B619" w14:textId="77777777" w:rsidR="00432CAD" w:rsidRPr="00DA547F" w:rsidRDefault="00432CAD" w:rsidP="002F2988">
            <w:pPr>
              <w:numPr>
                <w:ilvl w:val="0"/>
                <w:numId w:val="12"/>
              </w:numPr>
              <w:tabs>
                <w:tab w:val="num" w:pos="391"/>
              </w:tabs>
              <w:spacing w:before="120"/>
              <w:ind w:left="391"/>
              <w:rPr>
                <w:rFonts w:asciiTheme="minorHAnsi" w:eastAsia="Times New Roman" w:hAnsiTheme="minorHAnsi" w:cs="Calibri"/>
                <w:b/>
                <w:sz w:val="16"/>
                <w:szCs w:val="16"/>
                <w:u w:val="single"/>
              </w:rPr>
            </w:pPr>
            <w:r w:rsidRPr="00DA547F">
              <w:rPr>
                <w:rFonts w:asciiTheme="minorHAnsi" w:eastAsia="Times New Roman" w:hAnsiTheme="minorHAnsi" w:cs="Calibri"/>
                <w:b/>
                <w:sz w:val="16"/>
                <w:szCs w:val="16"/>
                <w:u w:val="single"/>
              </w:rPr>
              <w:t>Odstúpenie.</w:t>
            </w:r>
            <w:r w:rsidRPr="0003360E">
              <w:rPr>
                <w:rFonts w:asciiTheme="minorHAnsi" w:eastAsia="Times New Roman" w:hAnsiTheme="minorHAnsi" w:cs="Calibri"/>
                <w:b/>
                <w:sz w:val="16"/>
                <w:szCs w:val="16"/>
              </w:rPr>
              <w:t xml:space="preserve"> </w:t>
            </w:r>
            <w:r w:rsidRPr="00DA547F">
              <w:rPr>
                <w:rFonts w:asciiTheme="minorHAnsi" w:hAnsiTheme="minorHAnsi"/>
                <w:sz w:val="16"/>
                <w:szCs w:val="16"/>
              </w:rPr>
              <w:t>Ak Nájomca, aj napriek predchádzajúcej písomnej výzve, doručenej poštovou prepravou alebo iným dohodnutým spôsobom doručenia, nezaplatil splatné Nájomné v celej výške ani do 31 (tridsaťjeden) kalendárnych dní odo dňa splatnosti, Prenajímateľ je oprávnený odstúpiť od tejto Zmluvy jednostranným písomným odstúpením, ktoré nadobúda účinnosť dňom jeho doručenia Nájomcovi. Expedovaním odstúpenia od Zmluvy poštovou prepravou alebo iným dohodnutým spôsobom doručenia je Prenajímateľ oprávnený zamedziť prístup Nájomcovi do Priestorov, na čo musí byť Nájomca v písomnej výzve podľa predchádzajúcej vety upozornený.</w:t>
            </w:r>
          </w:p>
        </w:tc>
      </w:tr>
      <w:tr w:rsidR="00432CAD" w:rsidRPr="009E2454" w14:paraId="0FF6425C" w14:textId="77777777" w:rsidTr="002F2988">
        <w:tc>
          <w:tcPr>
            <w:tcW w:w="4649" w:type="dxa"/>
          </w:tcPr>
          <w:p w14:paraId="702B27FD" w14:textId="77777777" w:rsidR="00432CAD" w:rsidRPr="009E2454" w:rsidRDefault="00432CAD" w:rsidP="002F2988">
            <w:pPr>
              <w:numPr>
                <w:ilvl w:val="0"/>
                <w:numId w:val="7"/>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Effects of Termination</w:t>
            </w:r>
            <w:r w:rsidRPr="009E2454">
              <w:rPr>
                <w:rFonts w:ascii="Calibri" w:eastAsia="Times New Roman" w:hAnsi="Calibri" w:cs="Calibri"/>
                <w:b/>
                <w:sz w:val="16"/>
                <w:szCs w:val="16"/>
                <w:lang w:val="en-US"/>
              </w:rPr>
              <w:t>.</w:t>
            </w:r>
            <w:r w:rsidRPr="009E2454">
              <w:rPr>
                <w:rFonts w:ascii="Calibri" w:eastAsia="Times New Roman" w:hAnsi="Calibri" w:cs="Calibri"/>
                <w:sz w:val="16"/>
                <w:szCs w:val="16"/>
                <w:lang w:val="en-US"/>
              </w:rPr>
              <w:t xml:space="preserve"> In case of termination of the Agreement the Tenant shall return the Premises on the last day of the Term in the condition in which it was handed over to the Tenant </w:t>
            </w:r>
            <w:r w:rsidRPr="009E2454">
              <w:rPr>
                <w:rFonts w:ascii="Calibri" w:eastAsia="Times New Roman" w:hAnsi="Calibri" w:cs="Calibri"/>
                <w:bCs/>
                <w:sz w:val="16"/>
                <w:szCs w:val="16"/>
                <w:lang w:val="en-US"/>
              </w:rPr>
              <w:t>taking into account usual wear and tear</w:t>
            </w:r>
            <w:r w:rsidRPr="009E2454">
              <w:rPr>
                <w:rFonts w:ascii="Calibri" w:eastAsia="Times New Roman" w:hAnsi="Calibri" w:cs="Calibri"/>
                <w:sz w:val="16"/>
                <w:szCs w:val="16"/>
                <w:lang w:val="en-US"/>
              </w:rPr>
              <w:t>.</w:t>
            </w:r>
          </w:p>
        </w:tc>
        <w:tc>
          <w:tcPr>
            <w:tcW w:w="4649" w:type="dxa"/>
          </w:tcPr>
          <w:p w14:paraId="42AA07B3" w14:textId="77777777" w:rsidR="00432CAD" w:rsidRPr="009E2454" w:rsidRDefault="00432CAD" w:rsidP="002F2988">
            <w:pPr>
              <w:numPr>
                <w:ilvl w:val="0"/>
                <w:numId w:val="12"/>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Účinnosť ukončenia.</w:t>
            </w:r>
            <w:r w:rsidRPr="009E2454">
              <w:rPr>
                <w:rFonts w:ascii="Calibri" w:eastAsia="Times New Roman" w:hAnsi="Calibri" w:cs="Calibri"/>
                <w:sz w:val="16"/>
                <w:szCs w:val="16"/>
              </w:rPr>
              <w:t xml:space="preserve"> V prípade ukončenia Zmluvy Nájomca vráti Priestory v posledný deň Doby nájmu v stave, v ktorom mu boli odovzdané </w:t>
            </w:r>
            <w:r w:rsidRPr="009E2454">
              <w:rPr>
                <w:rFonts w:ascii="Calibri" w:eastAsia="Times New Roman" w:hAnsi="Calibri" w:cs="Calibri"/>
                <w:bCs/>
                <w:sz w:val="16"/>
                <w:szCs w:val="16"/>
              </w:rPr>
              <w:t>s prihliadnutím na obvyklé opotrebenie</w:t>
            </w:r>
            <w:r w:rsidRPr="009E2454">
              <w:rPr>
                <w:rFonts w:ascii="Calibri" w:eastAsia="Times New Roman" w:hAnsi="Calibri" w:cs="Calibri"/>
                <w:sz w:val="16"/>
                <w:szCs w:val="16"/>
              </w:rPr>
              <w:t>.</w:t>
            </w:r>
          </w:p>
        </w:tc>
      </w:tr>
      <w:tr w:rsidR="00432CAD" w:rsidRPr="009E2454" w14:paraId="43579F66" w14:textId="77777777" w:rsidTr="002F2988">
        <w:tc>
          <w:tcPr>
            <w:tcW w:w="4649" w:type="dxa"/>
          </w:tcPr>
          <w:p w14:paraId="755C7F36" w14:textId="77777777" w:rsidR="00432CAD" w:rsidRPr="009E2454" w:rsidRDefault="00432CAD" w:rsidP="002F2988">
            <w:pPr>
              <w:numPr>
                <w:ilvl w:val="0"/>
                <w:numId w:val="7"/>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Hold-Over Tenancy</w:t>
            </w:r>
            <w:r w:rsidRPr="009E2454">
              <w:rPr>
                <w:rFonts w:ascii="Calibri" w:eastAsia="Times New Roman" w:hAnsi="Calibri" w:cs="Calibri"/>
                <w:b/>
                <w:sz w:val="16"/>
                <w:szCs w:val="16"/>
                <w:lang w:val="en-US"/>
              </w:rPr>
              <w:t>.</w:t>
            </w:r>
            <w:r w:rsidRPr="009E2454">
              <w:rPr>
                <w:rFonts w:ascii="Calibri" w:eastAsia="Times New Roman" w:hAnsi="Calibri" w:cs="Calibri"/>
                <w:sz w:val="16"/>
                <w:szCs w:val="16"/>
                <w:lang w:val="en-US"/>
              </w:rPr>
              <w:t xml:space="preserve"> If the Tenant retains possession of the Premises, or any part thereof, after the termination of the Agreement, and if such retention is without the Lessor’s express consent, the Tenant shall pay the Lessor, (i) a contractual penalty of one hundred fifty percent (150%) of the then current Rent (that would be applicable if the Agreement was not terminated) for each month, any started month counting as full month upon request of the Lessor and (ii) any and all damages incurred by the Lessor, by reason of such retention. In such case the Lessor may, without any further notice or demand enter into and upon the Premises of any part thereof and expel the Tenant and remove the Tenant’s property at the Tenant’s cost with explicit Tenant’s consent which is hereby given. Neither the provisions of this section nor the Lessor’s acceptance of contractual penalty hereunder shall imply the acceptance of such possession of the Premises by the Tenant, or limit or constitute a waiver of any other rights or remedies of the Less</w:t>
            </w:r>
            <w:r>
              <w:rPr>
                <w:rFonts w:ascii="Calibri" w:eastAsia="Times New Roman" w:hAnsi="Calibri" w:cs="Calibri"/>
                <w:sz w:val="16"/>
                <w:szCs w:val="16"/>
                <w:lang w:val="en-US"/>
              </w:rPr>
              <w:t>or provided herein or by law.</w:t>
            </w:r>
          </w:p>
        </w:tc>
        <w:tc>
          <w:tcPr>
            <w:tcW w:w="4649" w:type="dxa"/>
          </w:tcPr>
          <w:p w14:paraId="788938DE" w14:textId="77777777" w:rsidR="00432CAD" w:rsidRPr="009E2454" w:rsidRDefault="00432CAD" w:rsidP="002F2988">
            <w:pPr>
              <w:numPr>
                <w:ilvl w:val="0"/>
                <w:numId w:val="12"/>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Neodovzdanie Priestorov.</w:t>
            </w:r>
            <w:r w:rsidRPr="009E2454">
              <w:rPr>
                <w:rFonts w:ascii="Calibri" w:eastAsia="Times New Roman" w:hAnsi="Calibri" w:cs="Calibri"/>
                <w:sz w:val="16"/>
                <w:szCs w:val="16"/>
              </w:rPr>
              <w:t xml:space="preserve"> Ak Nájomca neodovzdá Priestory alebo ľubovoľnú ich časť po skončení Zmluvy a ak takýto stav bude bez výslovného súhlasu Prenajímateľa, Nájomca zaplatí Prenajímateľovi (i) zmluvnú pokutu vo výške stopäťdesiat percent (150%) vtedy aktuálneho Nájomného (ktorá by platilo, ak by Zmluva nebola ukončená) za každý mesiac, na žiadosť Prenajímateľa, pričom akýkoľvek aj začatý mesiac sa považuje za celý mesiac, a (ii) všetky náhrady škôd, ktoré vzniknú Prenajímateľovi z dôvodu neodovzdania. V takomto prípade môže Prenajímateľ bez akéhokoľvek oznámenia alebo požiadania, vstúpiť do Priestorov alebo ich časti a vypratať Nájomcu a odstrániť Nájomcov majetok na náklady Nájomcu s výslovným súhlasom Nájomcu, ktorý je týmto udelený. Žiadne z ustanovení tohto odseku, ani prijatie zmluvnej pokuty zo strany Prenajímateľa podľa tohto článku neznamená akceptovanie užívania Priestorov Nájomcom, alebo obmedzenie, alebo vzdanie sa akýchkoľvek práv Prenajímateľa, ktoré mu umožňujú Zmluva alebo zákon.</w:t>
            </w:r>
          </w:p>
        </w:tc>
      </w:tr>
      <w:tr w:rsidR="00432CAD" w:rsidRPr="009E2454" w14:paraId="7784ACA4" w14:textId="77777777" w:rsidTr="002F2988">
        <w:tc>
          <w:tcPr>
            <w:tcW w:w="4649" w:type="dxa"/>
          </w:tcPr>
          <w:p w14:paraId="138AE48C" w14:textId="77777777" w:rsidR="00432CAD" w:rsidRPr="009E2454" w:rsidRDefault="00432CAD" w:rsidP="002F2988">
            <w:pPr>
              <w:numPr>
                <w:ilvl w:val="0"/>
                <w:numId w:val="7"/>
              </w:numPr>
              <w:spacing w:before="120"/>
              <w:rPr>
                <w:rFonts w:ascii="Calibri" w:eastAsia="Times New Roman" w:hAnsi="Calibri" w:cs="Calibri"/>
                <w:b/>
                <w:sz w:val="16"/>
                <w:szCs w:val="16"/>
                <w:u w:val="single"/>
                <w:lang w:val="en-US"/>
              </w:rPr>
            </w:pPr>
            <w:r>
              <w:rPr>
                <w:rFonts w:asciiTheme="minorHAnsi" w:eastAsia="Times New Roman" w:hAnsiTheme="minorHAnsi" w:cs="Calibri"/>
                <w:b/>
                <w:sz w:val="16"/>
                <w:szCs w:val="16"/>
                <w:u w:val="single"/>
                <w:lang w:val="en-US"/>
              </w:rPr>
              <w:t>Early Termination of Lease</w:t>
            </w:r>
            <w:r w:rsidRPr="00A94CEA">
              <w:rPr>
                <w:rFonts w:asciiTheme="minorHAnsi" w:eastAsia="Times New Roman" w:hAnsiTheme="minorHAnsi" w:cs="Calibri"/>
                <w:sz w:val="16"/>
                <w:szCs w:val="16"/>
                <w:lang w:val="en-US"/>
              </w:rPr>
              <w:t>.</w:t>
            </w:r>
            <w:r>
              <w:rPr>
                <w:rFonts w:asciiTheme="minorHAnsi" w:eastAsia="Times New Roman" w:hAnsiTheme="minorHAnsi" w:cs="Calibri"/>
                <w:sz w:val="16"/>
                <w:szCs w:val="16"/>
                <w:lang w:val="en-US"/>
              </w:rPr>
              <w:t xml:space="preserve"> If</w:t>
            </w:r>
            <w:r w:rsidRPr="00A94CEA">
              <w:rPr>
                <w:rFonts w:asciiTheme="minorHAnsi" w:eastAsia="Times New Roman" w:hAnsiTheme="minorHAnsi" w:cs="Calibri"/>
                <w:sz w:val="16"/>
                <w:szCs w:val="16"/>
                <w:lang w:val="en-US"/>
              </w:rPr>
              <w:t xml:space="preserve"> the </w:t>
            </w:r>
            <w:r>
              <w:rPr>
                <w:rFonts w:asciiTheme="minorHAnsi" w:eastAsia="Times New Roman" w:hAnsiTheme="minorHAnsi" w:cs="Calibri"/>
                <w:sz w:val="16"/>
                <w:szCs w:val="16"/>
                <w:lang w:val="en-US"/>
              </w:rPr>
              <w:t>Agreement</w:t>
            </w:r>
            <w:r w:rsidRPr="00A94CEA">
              <w:rPr>
                <w:rFonts w:asciiTheme="minorHAnsi" w:eastAsia="Times New Roman" w:hAnsiTheme="minorHAnsi" w:cs="Calibri"/>
                <w:sz w:val="16"/>
                <w:szCs w:val="16"/>
                <w:lang w:val="en-US"/>
              </w:rPr>
              <w:t xml:space="preserve"> </w:t>
            </w:r>
            <w:r>
              <w:rPr>
                <w:rFonts w:asciiTheme="minorHAnsi" w:eastAsia="Times New Roman" w:hAnsiTheme="minorHAnsi" w:cs="Calibri"/>
                <w:sz w:val="16"/>
                <w:szCs w:val="16"/>
                <w:lang w:val="en-US"/>
              </w:rPr>
              <w:t xml:space="preserve">is terminated </w:t>
            </w:r>
            <w:r w:rsidRPr="00A94CEA">
              <w:rPr>
                <w:rFonts w:asciiTheme="minorHAnsi" w:eastAsia="Times New Roman" w:hAnsiTheme="minorHAnsi" w:cs="Calibri"/>
                <w:sz w:val="16"/>
                <w:szCs w:val="16"/>
                <w:lang w:val="en-US"/>
              </w:rPr>
              <w:t xml:space="preserve">prior to the expiration of the </w:t>
            </w:r>
            <w:r>
              <w:rPr>
                <w:rFonts w:asciiTheme="minorHAnsi" w:eastAsia="Times New Roman" w:hAnsiTheme="minorHAnsi" w:cs="Calibri"/>
                <w:sz w:val="16"/>
                <w:szCs w:val="16"/>
                <w:lang w:val="en-US"/>
              </w:rPr>
              <w:t>T</w:t>
            </w:r>
            <w:r w:rsidRPr="00A94CEA">
              <w:rPr>
                <w:rFonts w:asciiTheme="minorHAnsi" w:eastAsia="Times New Roman" w:hAnsiTheme="minorHAnsi" w:cs="Calibri"/>
                <w:sz w:val="16"/>
                <w:szCs w:val="16"/>
                <w:lang w:val="en-US"/>
              </w:rPr>
              <w:t>erm</w:t>
            </w:r>
            <w:r>
              <w:rPr>
                <w:rFonts w:asciiTheme="minorHAnsi" w:eastAsia="Times New Roman" w:hAnsiTheme="minorHAnsi" w:cs="Calibri"/>
                <w:sz w:val="16"/>
                <w:szCs w:val="16"/>
                <w:lang w:val="en-US"/>
              </w:rPr>
              <w:t xml:space="preserve"> due to reasons attributable to the Tenant</w:t>
            </w:r>
            <w:r w:rsidRPr="00A94CEA">
              <w:rPr>
                <w:rFonts w:asciiTheme="minorHAnsi" w:eastAsia="Times New Roman" w:hAnsiTheme="minorHAnsi" w:cs="Calibri"/>
                <w:sz w:val="16"/>
                <w:szCs w:val="16"/>
                <w:lang w:val="en-US"/>
              </w:rPr>
              <w:t xml:space="preserve">, including the Parties’ agreement on termination of the </w:t>
            </w:r>
            <w:r>
              <w:rPr>
                <w:rFonts w:asciiTheme="minorHAnsi" w:eastAsia="Times New Roman" w:hAnsiTheme="minorHAnsi" w:cs="Calibri"/>
                <w:sz w:val="16"/>
                <w:szCs w:val="16"/>
                <w:lang w:val="en-US"/>
              </w:rPr>
              <w:t>Agreement</w:t>
            </w:r>
            <w:r w:rsidRPr="00A94CEA">
              <w:rPr>
                <w:rFonts w:asciiTheme="minorHAnsi" w:eastAsia="Times New Roman" w:hAnsiTheme="minorHAnsi" w:cs="Calibri"/>
                <w:sz w:val="16"/>
                <w:szCs w:val="16"/>
                <w:lang w:val="en-US"/>
              </w:rPr>
              <w:t xml:space="preserve"> entered into at the </w:t>
            </w:r>
            <w:r>
              <w:rPr>
                <w:rFonts w:asciiTheme="minorHAnsi" w:eastAsia="Times New Roman" w:hAnsiTheme="minorHAnsi" w:cs="Calibri"/>
                <w:sz w:val="16"/>
                <w:szCs w:val="16"/>
                <w:lang w:val="en-US"/>
              </w:rPr>
              <w:t>Tenant</w:t>
            </w:r>
            <w:r w:rsidRPr="00A94CEA">
              <w:rPr>
                <w:rFonts w:asciiTheme="minorHAnsi" w:eastAsia="Times New Roman" w:hAnsiTheme="minorHAnsi" w:cs="Calibri"/>
                <w:sz w:val="16"/>
                <w:szCs w:val="16"/>
                <w:lang w:val="en-US"/>
              </w:rPr>
              <w:t xml:space="preserve">’s proposal, the </w:t>
            </w:r>
            <w:r>
              <w:rPr>
                <w:rFonts w:asciiTheme="minorHAnsi" w:eastAsia="Times New Roman" w:hAnsiTheme="minorHAnsi" w:cs="Calibri"/>
                <w:sz w:val="16"/>
                <w:szCs w:val="16"/>
                <w:lang w:val="en-US"/>
              </w:rPr>
              <w:t>Tenant</w:t>
            </w:r>
            <w:r w:rsidRPr="00A94CEA">
              <w:rPr>
                <w:rFonts w:asciiTheme="minorHAnsi" w:eastAsia="Times New Roman" w:hAnsiTheme="minorHAnsi" w:cs="Calibri"/>
                <w:sz w:val="16"/>
                <w:szCs w:val="16"/>
                <w:lang w:val="en-US"/>
              </w:rPr>
              <w:t xml:space="preserve"> shall be obliged to pay to the Lessor a one-off fee in the amount </w:t>
            </w:r>
            <w:r>
              <w:rPr>
                <w:rFonts w:asciiTheme="minorHAnsi" w:eastAsia="Times New Roman" w:hAnsiTheme="minorHAnsi" w:cs="Calibri"/>
                <w:sz w:val="16"/>
                <w:szCs w:val="16"/>
                <w:lang w:val="en-US"/>
              </w:rPr>
              <w:t>of</w:t>
            </w:r>
            <w:r w:rsidRPr="00A94CEA">
              <w:rPr>
                <w:rFonts w:asciiTheme="minorHAnsi" w:eastAsia="Times New Roman" w:hAnsiTheme="minorHAnsi" w:cs="Calibri"/>
                <w:sz w:val="16"/>
                <w:szCs w:val="16"/>
                <w:lang w:val="en-US"/>
              </w:rPr>
              <w:t xml:space="preserve"> </w:t>
            </w:r>
            <w:r>
              <w:rPr>
                <w:rFonts w:asciiTheme="minorHAnsi" w:eastAsia="Times New Roman" w:hAnsiTheme="minorHAnsi" w:cs="Calibri"/>
                <w:sz w:val="16"/>
                <w:szCs w:val="16"/>
                <w:lang w:val="en-US"/>
              </w:rPr>
              <w:t>six times (6x) the monthly Rent</w:t>
            </w:r>
            <w:r w:rsidRPr="00A94CEA">
              <w:rPr>
                <w:rFonts w:asciiTheme="minorHAnsi" w:eastAsia="Times New Roman" w:hAnsiTheme="minorHAnsi" w:cs="Calibri"/>
                <w:sz w:val="16"/>
                <w:szCs w:val="16"/>
                <w:lang w:val="en-US"/>
              </w:rPr>
              <w:t xml:space="preserve"> for the costs connected with the early termination of the </w:t>
            </w:r>
            <w:r>
              <w:rPr>
                <w:rFonts w:asciiTheme="minorHAnsi" w:eastAsia="Times New Roman" w:hAnsiTheme="minorHAnsi" w:cs="Calibri"/>
                <w:sz w:val="16"/>
                <w:szCs w:val="16"/>
                <w:lang w:val="en-US"/>
              </w:rPr>
              <w:lastRenderedPageBreak/>
              <w:t>Agreement</w:t>
            </w:r>
            <w:r w:rsidRPr="00A94CEA">
              <w:rPr>
                <w:rFonts w:asciiTheme="minorHAnsi" w:eastAsia="Times New Roman" w:hAnsiTheme="minorHAnsi" w:cs="Calibri"/>
                <w:sz w:val="16"/>
                <w:szCs w:val="16"/>
                <w:lang w:val="en-US"/>
              </w:rPr>
              <w:t>.</w:t>
            </w:r>
            <w:r>
              <w:rPr>
                <w:rFonts w:asciiTheme="minorHAnsi" w:eastAsia="Times New Roman" w:hAnsiTheme="minorHAnsi" w:cs="Calibri"/>
                <w:sz w:val="16"/>
                <w:szCs w:val="16"/>
                <w:lang w:val="en-US"/>
              </w:rPr>
              <w:t xml:space="preserve"> </w:t>
            </w:r>
            <w:r w:rsidRPr="00B66265">
              <w:rPr>
                <w:rFonts w:asciiTheme="minorHAnsi" w:eastAsia="Times New Roman" w:hAnsiTheme="minorHAnsi" w:cs="Calibri"/>
                <w:sz w:val="16"/>
                <w:szCs w:val="16"/>
                <w:lang w:val="en-US"/>
              </w:rPr>
              <w:t xml:space="preserve">In case of the use of the option to subscribe parking space from the Lessor, according to the article III section 16 of the Standard terms and conditions, the Deposit shall be raised for the amount of </w:t>
            </w:r>
            <w:r>
              <w:rPr>
                <w:rFonts w:asciiTheme="minorHAnsi" w:eastAsia="Times New Roman" w:hAnsiTheme="minorHAnsi" w:cs="Calibri"/>
                <w:sz w:val="16"/>
                <w:szCs w:val="16"/>
              </w:rPr>
              <w:t xml:space="preserve">six times (6x) Fee for subscription of the parking space. </w:t>
            </w:r>
            <w:r>
              <w:rPr>
                <w:rFonts w:asciiTheme="minorHAnsi" w:eastAsia="Times New Roman" w:hAnsiTheme="minorHAnsi" w:cs="Calibri"/>
                <w:sz w:val="16"/>
                <w:szCs w:val="16"/>
                <w:lang w:val="en-US"/>
              </w:rPr>
              <w:t xml:space="preserve">If the Agreement is entered into for an indefinite term, for the purposes of this provision, Term shall mean the </w:t>
            </w:r>
            <w:r w:rsidRPr="00A94CEA">
              <w:rPr>
                <w:rFonts w:asciiTheme="minorHAnsi" w:eastAsia="Times New Roman" w:hAnsiTheme="minorHAnsi" w:cs="Calibri"/>
                <w:sz w:val="16"/>
                <w:szCs w:val="16"/>
                <w:lang w:val="en-US"/>
              </w:rPr>
              <w:t xml:space="preserve">part of the lease term, </w:t>
            </w:r>
            <w:r>
              <w:rPr>
                <w:rFonts w:asciiTheme="minorHAnsi" w:eastAsia="Times New Roman" w:hAnsiTheme="minorHAnsi" w:cs="Calibri"/>
                <w:sz w:val="16"/>
                <w:szCs w:val="16"/>
                <w:lang w:val="en-US"/>
              </w:rPr>
              <w:t>during which</w:t>
            </w:r>
            <w:r w:rsidRPr="00A94CEA">
              <w:rPr>
                <w:rFonts w:asciiTheme="minorHAnsi" w:eastAsia="Times New Roman" w:hAnsiTheme="minorHAnsi" w:cs="Calibri"/>
                <w:sz w:val="16"/>
                <w:szCs w:val="16"/>
                <w:lang w:val="en-US"/>
              </w:rPr>
              <w:t xml:space="preserve"> the Tenant is not entitled to terminate the Agreement without a cause</w:t>
            </w:r>
            <w:r>
              <w:rPr>
                <w:rFonts w:asciiTheme="minorHAnsi" w:eastAsia="Times New Roman" w:hAnsiTheme="minorHAnsi" w:cs="Calibri"/>
                <w:sz w:val="16"/>
                <w:szCs w:val="16"/>
                <w:lang w:val="en-US"/>
              </w:rPr>
              <w:t>.</w:t>
            </w:r>
          </w:p>
        </w:tc>
        <w:tc>
          <w:tcPr>
            <w:tcW w:w="4649" w:type="dxa"/>
          </w:tcPr>
          <w:p w14:paraId="526E9631" w14:textId="77777777" w:rsidR="00432CAD" w:rsidRPr="009E2454" w:rsidRDefault="00432CAD" w:rsidP="002F2988">
            <w:pPr>
              <w:numPr>
                <w:ilvl w:val="0"/>
                <w:numId w:val="12"/>
              </w:numPr>
              <w:tabs>
                <w:tab w:val="clear" w:pos="720"/>
                <w:tab w:val="num" w:pos="341"/>
                <w:tab w:val="num" w:pos="391"/>
              </w:tabs>
              <w:spacing w:before="120"/>
              <w:ind w:left="341" w:hanging="341"/>
              <w:rPr>
                <w:rFonts w:ascii="Calibri" w:eastAsia="Times New Roman" w:hAnsi="Calibri" w:cs="Calibri"/>
                <w:b/>
                <w:sz w:val="16"/>
                <w:szCs w:val="16"/>
                <w:u w:val="single"/>
              </w:rPr>
            </w:pPr>
            <w:r w:rsidRPr="00A94CEA">
              <w:rPr>
                <w:rFonts w:asciiTheme="minorHAnsi" w:eastAsia="Times New Roman" w:hAnsiTheme="minorHAnsi" w:cs="Calibri"/>
                <w:b/>
                <w:sz w:val="16"/>
                <w:szCs w:val="16"/>
                <w:u w:val="single"/>
              </w:rPr>
              <w:lastRenderedPageBreak/>
              <w:t xml:space="preserve">Predčasné </w:t>
            </w:r>
            <w:r>
              <w:rPr>
                <w:rFonts w:asciiTheme="minorHAnsi" w:eastAsia="Times New Roman" w:hAnsiTheme="minorHAnsi" w:cs="Calibri"/>
                <w:b/>
                <w:sz w:val="16"/>
                <w:szCs w:val="16"/>
                <w:u w:val="single"/>
              </w:rPr>
              <w:t>u</w:t>
            </w:r>
            <w:r w:rsidRPr="00A94CEA">
              <w:rPr>
                <w:rFonts w:asciiTheme="minorHAnsi" w:eastAsia="Times New Roman" w:hAnsiTheme="minorHAnsi" w:cs="Calibri"/>
                <w:b/>
                <w:sz w:val="16"/>
                <w:szCs w:val="16"/>
                <w:u w:val="single"/>
              </w:rPr>
              <w:t>končenie nájmu.</w:t>
            </w:r>
            <w:r w:rsidRPr="00A94CEA">
              <w:rPr>
                <w:rFonts w:asciiTheme="minorHAnsi" w:eastAsia="Times New Roman" w:hAnsiTheme="minorHAnsi" w:cs="Calibri"/>
                <w:sz w:val="16"/>
                <w:szCs w:val="16"/>
              </w:rPr>
              <w:t xml:space="preserve"> V prípade </w:t>
            </w:r>
            <w:r>
              <w:rPr>
                <w:rFonts w:asciiTheme="minorHAnsi" w:eastAsia="Times New Roman" w:hAnsiTheme="minorHAnsi" w:cs="Calibri"/>
                <w:sz w:val="16"/>
                <w:szCs w:val="16"/>
              </w:rPr>
              <w:t>u</w:t>
            </w:r>
            <w:r w:rsidRPr="00A94CEA">
              <w:rPr>
                <w:rFonts w:asciiTheme="minorHAnsi" w:eastAsia="Times New Roman" w:hAnsiTheme="minorHAnsi" w:cs="Calibri"/>
                <w:sz w:val="16"/>
                <w:szCs w:val="16"/>
              </w:rPr>
              <w:t xml:space="preserve">končenia </w:t>
            </w:r>
            <w:r>
              <w:rPr>
                <w:rFonts w:asciiTheme="minorHAnsi" w:eastAsia="Times New Roman" w:hAnsiTheme="minorHAnsi" w:cs="Calibri"/>
                <w:sz w:val="16"/>
                <w:szCs w:val="16"/>
              </w:rPr>
              <w:t>Zmluvy</w:t>
            </w:r>
            <w:r w:rsidRPr="00A94CEA">
              <w:rPr>
                <w:rFonts w:asciiTheme="minorHAnsi" w:eastAsia="Times New Roman" w:hAnsiTheme="minorHAnsi" w:cs="Calibri"/>
                <w:sz w:val="16"/>
                <w:szCs w:val="16"/>
              </w:rPr>
              <w:t xml:space="preserve"> pred uplynutím Doby nájmu z dôvodov na strane Nájomcu, vrátane dohody </w:t>
            </w:r>
            <w:r>
              <w:rPr>
                <w:rFonts w:asciiTheme="minorHAnsi" w:eastAsia="Times New Roman" w:hAnsiTheme="minorHAnsi" w:cs="Calibri"/>
                <w:sz w:val="16"/>
                <w:szCs w:val="16"/>
              </w:rPr>
              <w:t xml:space="preserve">o skončení Zmluvy </w:t>
            </w:r>
            <w:r w:rsidRPr="00A94CEA">
              <w:rPr>
                <w:rFonts w:asciiTheme="minorHAnsi" w:eastAsia="Times New Roman" w:hAnsiTheme="minorHAnsi" w:cs="Calibri"/>
                <w:sz w:val="16"/>
                <w:szCs w:val="16"/>
              </w:rPr>
              <w:t>uzatvorenej na návrh Nájomcu, je Nájomca povinný zaplatiť Prenajímateľovi jednorazový poplatok vo výške</w:t>
            </w:r>
            <w:r>
              <w:rPr>
                <w:rFonts w:asciiTheme="minorHAnsi" w:eastAsia="Times New Roman" w:hAnsiTheme="minorHAnsi" w:cs="Calibri"/>
                <w:sz w:val="16"/>
                <w:szCs w:val="16"/>
              </w:rPr>
              <w:t xml:space="preserve"> šesť</w:t>
            </w:r>
            <w:r w:rsidRPr="00A94CEA">
              <w:rPr>
                <w:rFonts w:asciiTheme="minorHAnsi" w:eastAsia="Times New Roman" w:hAnsiTheme="minorHAnsi" w:cs="Calibri"/>
                <w:sz w:val="16"/>
                <w:szCs w:val="16"/>
              </w:rPr>
              <w:t>násobku (</w:t>
            </w:r>
            <w:r>
              <w:rPr>
                <w:rFonts w:asciiTheme="minorHAnsi" w:eastAsia="Times New Roman" w:hAnsiTheme="minorHAnsi" w:cs="Calibri"/>
                <w:sz w:val="16"/>
                <w:szCs w:val="16"/>
              </w:rPr>
              <w:t>6</w:t>
            </w:r>
            <w:r w:rsidRPr="00A94CEA">
              <w:rPr>
                <w:rFonts w:asciiTheme="minorHAnsi" w:eastAsia="Times New Roman" w:hAnsiTheme="minorHAnsi" w:cs="Calibri"/>
                <w:sz w:val="16"/>
                <w:szCs w:val="16"/>
              </w:rPr>
              <w:t xml:space="preserve">x) mesačného </w:t>
            </w:r>
            <w:r>
              <w:rPr>
                <w:rFonts w:asciiTheme="minorHAnsi" w:eastAsia="Times New Roman" w:hAnsiTheme="minorHAnsi" w:cs="Calibri"/>
                <w:sz w:val="16"/>
                <w:szCs w:val="16"/>
              </w:rPr>
              <w:t>N</w:t>
            </w:r>
            <w:r w:rsidRPr="00A94CEA">
              <w:rPr>
                <w:rFonts w:asciiTheme="minorHAnsi" w:eastAsia="Times New Roman" w:hAnsiTheme="minorHAnsi" w:cs="Calibri"/>
                <w:sz w:val="16"/>
                <w:szCs w:val="16"/>
              </w:rPr>
              <w:t xml:space="preserve">ájomného na náklady spojené s predčasným skončením </w:t>
            </w:r>
            <w:r>
              <w:rPr>
                <w:rFonts w:asciiTheme="minorHAnsi" w:eastAsia="Times New Roman" w:hAnsiTheme="minorHAnsi" w:cs="Calibri"/>
                <w:sz w:val="16"/>
                <w:szCs w:val="16"/>
              </w:rPr>
              <w:t>Zmluvy</w:t>
            </w:r>
            <w:r w:rsidRPr="00A94CEA">
              <w:rPr>
                <w:rFonts w:asciiTheme="minorHAnsi" w:eastAsia="Times New Roman" w:hAnsiTheme="minorHAnsi" w:cs="Calibri"/>
                <w:sz w:val="16"/>
                <w:szCs w:val="16"/>
              </w:rPr>
              <w:t>.</w:t>
            </w:r>
            <w:r>
              <w:t xml:space="preserve"> </w:t>
            </w:r>
            <w:r w:rsidRPr="00C37CD9">
              <w:rPr>
                <w:rFonts w:asciiTheme="minorHAnsi" w:eastAsia="Times New Roman" w:hAnsiTheme="minorHAnsi" w:cs="Calibri"/>
                <w:sz w:val="16"/>
                <w:szCs w:val="16"/>
              </w:rPr>
              <w:t xml:space="preserve">V prípade využitia možnosti predplatiť si parkovacie </w:t>
            </w:r>
            <w:r w:rsidRPr="00C37CD9">
              <w:rPr>
                <w:rFonts w:asciiTheme="minorHAnsi" w:eastAsia="Times New Roman" w:hAnsiTheme="minorHAnsi" w:cs="Calibri"/>
                <w:sz w:val="16"/>
                <w:szCs w:val="16"/>
              </w:rPr>
              <w:lastRenderedPageBreak/>
              <w:t>miesta od</w:t>
            </w:r>
            <w:r>
              <w:rPr>
                <w:rFonts w:asciiTheme="minorHAnsi" w:eastAsia="Times New Roman" w:hAnsiTheme="minorHAnsi" w:cs="Calibri"/>
                <w:sz w:val="16"/>
                <w:szCs w:val="16"/>
              </w:rPr>
              <w:t xml:space="preserve"> Prenajímateľa, v súlade s čl. III</w:t>
            </w:r>
            <w:r w:rsidRPr="00C37CD9">
              <w:rPr>
                <w:rFonts w:asciiTheme="minorHAnsi" w:eastAsia="Times New Roman" w:hAnsiTheme="minorHAnsi" w:cs="Calibri"/>
                <w:sz w:val="16"/>
                <w:szCs w:val="16"/>
              </w:rPr>
              <w:t xml:space="preserve"> ods. 16 Štandardných obchodných podmienok</w:t>
            </w:r>
            <w:r>
              <w:rPr>
                <w:rFonts w:asciiTheme="minorHAnsi" w:eastAsia="Times New Roman" w:hAnsiTheme="minorHAnsi" w:cs="Calibri"/>
                <w:sz w:val="16"/>
                <w:szCs w:val="16"/>
              </w:rPr>
              <w:t xml:space="preserve"> je Nájomca ďalej povinný zaplatiť Prenajímateľovi aj jednorazový poplatok vo výške šesť</w:t>
            </w:r>
            <w:r w:rsidRPr="00A94CEA">
              <w:rPr>
                <w:rFonts w:asciiTheme="minorHAnsi" w:eastAsia="Times New Roman" w:hAnsiTheme="minorHAnsi" w:cs="Calibri"/>
                <w:sz w:val="16"/>
                <w:szCs w:val="16"/>
              </w:rPr>
              <w:t>násobku (</w:t>
            </w:r>
            <w:r>
              <w:rPr>
                <w:rFonts w:asciiTheme="minorHAnsi" w:eastAsia="Times New Roman" w:hAnsiTheme="minorHAnsi" w:cs="Calibri"/>
                <w:sz w:val="16"/>
                <w:szCs w:val="16"/>
              </w:rPr>
              <w:t>6</w:t>
            </w:r>
            <w:r w:rsidRPr="00A94CEA">
              <w:rPr>
                <w:rFonts w:asciiTheme="minorHAnsi" w:eastAsia="Times New Roman" w:hAnsiTheme="minorHAnsi" w:cs="Calibri"/>
                <w:sz w:val="16"/>
                <w:szCs w:val="16"/>
              </w:rPr>
              <w:t xml:space="preserve">x) </w:t>
            </w:r>
            <w:r>
              <w:rPr>
                <w:rFonts w:asciiTheme="minorHAnsi" w:eastAsia="Times New Roman" w:hAnsiTheme="minorHAnsi" w:cs="Calibri"/>
                <w:sz w:val="16"/>
                <w:szCs w:val="16"/>
              </w:rPr>
              <w:t xml:space="preserve">poplatku za predplatenie parkovacieho miesta. Ak je Zmluva uzavretá na dobu neurčitú, za Dobu nájmu sa pre účely tohto ustanovenia bude považovať tá časť </w:t>
            </w:r>
            <w:r w:rsidRPr="00A94CEA">
              <w:rPr>
                <w:rFonts w:asciiTheme="minorHAnsi" w:eastAsia="Times New Roman" w:hAnsiTheme="minorHAnsi" w:cs="Calibri"/>
                <w:sz w:val="16"/>
                <w:szCs w:val="16"/>
              </w:rPr>
              <w:t xml:space="preserve">doby nájmu, </w:t>
            </w:r>
            <w:r>
              <w:rPr>
                <w:rFonts w:asciiTheme="minorHAnsi" w:eastAsia="Times New Roman" w:hAnsiTheme="minorHAnsi" w:cs="Calibri"/>
                <w:sz w:val="16"/>
                <w:szCs w:val="16"/>
              </w:rPr>
              <w:t>počas</w:t>
            </w:r>
            <w:r w:rsidRPr="00A94CEA">
              <w:rPr>
                <w:rFonts w:asciiTheme="minorHAnsi" w:eastAsia="Times New Roman" w:hAnsiTheme="minorHAnsi" w:cs="Calibri"/>
                <w:sz w:val="16"/>
                <w:szCs w:val="16"/>
              </w:rPr>
              <w:t xml:space="preserve"> ktorej Nájomca nie je oprávnený </w:t>
            </w:r>
            <w:r>
              <w:rPr>
                <w:rFonts w:asciiTheme="minorHAnsi" w:eastAsia="Times New Roman" w:hAnsiTheme="minorHAnsi" w:cs="Calibri"/>
                <w:sz w:val="16"/>
                <w:szCs w:val="16"/>
              </w:rPr>
              <w:t>Z</w:t>
            </w:r>
            <w:r w:rsidRPr="00A94CEA">
              <w:rPr>
                <w:rFonts w:asciiTheme="minorHAnsi" w:eastAsia="Times New Roman" w:hAnsiTheme="minorHAnsi" w:cs="Calibri"/>
                <w:sz w:val="16"/>
                <w:szCs w:val="16"/>
              </w:rPr>
              <w:t>mluvu kedykoľvek vypovedať bez udania dôvodu</w:t>
            </w:r>
            <w:r>
              <w:rPr>
                <w:rFonts w:asciiTheme="minorHAnsi" w:eastAsia="Times New Roman" w:hAnsiTheme="minorHAnsi" w:cs="Calibri"/>
                <w:sz w:val="16"/>
                <w:szCs w:val="16"/>
              </w:rPr>
              <w:t>.</w:t>
            </w:r>
          </w:p>
        </w:tc>
      </w:tr>
      <w:tr w:rsidR="00432CAD" w:rsidRPr="009E2454" w14:paraId="4542016F" w14:textId="77777777" w:rsidTr="002F2988">
        <w:tc>
          <w:tcPr>
            <w:tcW w:w="4649" w:type="dxa"/>
          </w:tcPr>
          <w:p w14:paraId="37DFFD6D" w14:textId="77777777" w:rsidR="00432CAD" w:rsidRPr="009E2454" w:rsidRDefault="00432CAD" w:rsidP="002F2988">
            <w:pPr>
              <w:keepNext/>
              <w:spacing w:before="120"/>
              <w:jc w:val="center"/>
              <w:outlineLvl w:val="0"/>
              <w:rPr>
                <w:rFonts w:ascii="Calibri" w:eastAsia="Times New Roman" w:hAnsi="Calibri" w:cs="Calibri"/>
                <w:b/>
                <w:bCs/>
                <w:caps/>
                <w:sz w:val="16"/>
                <w:szCs w:val="16"/>
                <w:lang w:val="en-US"/>
              </w:rPr>
            </w:pPr>
            <w:r w:rsidRPr="009E2454">
              <w:rPr>
                <w:rFonts w:ascii="Calibri" w:eastAsia="Times New Roman" w:hAnsi="Calibri" w:cs="Calibri"/>
                <w:b/>
                <w:bCs/>
                <w:caps/>
                <w:sz w:val="16"/>
                <w:szCs w:val="16"/>
                <w:lang w:val="en-US"/>
              </w:rPr>
              <w:lastRenderedPageBreak/>
              <w:t>V. Final Provisions</w:t>
            </w:r>
          </w:p>
        </w:tc>
        <w:tc>
          <w:tcPr>
            <w:tcW w:w="4649" w:type="dxa"/>
          </w:tcPr>
          <w:p w14:paraId="2709FD2A" w14:textId="77777777" w:rsidR="00432CAD" w:rsidRPr="009E2454" w:rsidRDefault="00432CAD" w:rsidP="002F2988">
            <w:pPr>
              <w:keepNext/>
              <w:spacing w:before="120"/>
              <w:jc w:val="center"/>
              <w:outlineLvl w:val="0"/>
              <w:rPr>
                <w:rFonts w:ascii="Calibri" w:eastAsia="Times New Roman" w:hAnsi="Calibri" w:cs="Calibri"/>
                <w:b/>
                <w:bCs/>
                <w:caps/>
                <w:sz w:val="16"/>
                <w:szCs w:val="16"/>
              </w:rPr>
            </w:pPr>
            <w:r w:rsidRPr="009E2454">
              <w:rPr>
                <w:rFonts w:ascii="Calibri" w:eastAsia="Times New Roman" w:hAnsi="Calibri" w:cs="Calibri"/>
                <w:b/>
                <w:bCs/>
                <w:caps/>
                <w:sz w:val="16"/>
                <w:szCs w:val="16"/>
              </w:rPr>
              <w:t>V. Záverečné ustanovenia</w:t>
            </w:r>
          </w:p>
        </w:tc>
      </w:tr>
      <w:tr w:rsidR="00432CAD" w:rsidRPr="009E2454" w14:paraId="68B517D2" w14:textId="77777777" w:rsidTr="002F2988">
        <w:tc>
          <w:tcPr>
            <w:tcW w:w="4649" w:type="dxa"/>
          </w:tcPr>
          <w:p w14:paraId="103DDC9D" w14:textId="77777777" w:rsidR="00432CAD" w:rsidRPr="009E2454" w:rsidRDefault="00432CAD" w:rsidP="002F2988">
            <w:pPr>
              <w:numPr>
                <w:ilvl w:val="0"/>
                <w:numId w:val="8"/>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Effectiveness.</w:t>
            </w:r>
            <w:r w:rsidRPr="009E2454">
              <w:rPr>
                <w:rFonts w:ascii="Calibri" w:eastAsia="Times New Roman" w:hAnsi="Calibri" w:cs="Calibri"/>
                <w:sz w:val="16"/>
                <w:szCs w:val="16"/>
                <w:lang w:val="en-US"/>
              </w:rPr>
              <w:t xml:space="preserve"> The Agreement shall come into effect upon its signing by both the parties.</w:t>
            </w:r>
          </w:p>
        </w:tc>
        <w:tc>
          <w:tcPr>
            <w:tcW w:w="4649" w:type="dxa"/>
          </w:tcPr>
          <w:p w14:paraId="30452BFB" w14:textId="77777777" w:rsidR="00432CAD" w:rsidRPr="009E2454" w:rsidRDefault="00432CAD" w:rsidP="002F2988">
            <w:pPr>
              <w:numPr>
                <w:ilvl w:val="0"/>
                <w:numId w:val="13"/>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Účinnosť.</w:t>
            </w:r>
            <w:r w:rsidRPr="009E2454">
              <w:rPr>
                <w:rFonts w:ascii="Calibri" w:eastAsia="Times New Roman" w:hAnsi="Calibri" w:cs="Calibri"/>
                <w:sz w:val="16"/>
                <w:szCs w:val="16"/>
              </w:rPr>
              <w:t xml:space="preserve"> Zmluva sa stáva účinnou podpisom obidvoch strán.</w:t>
            </w:r>
          </w:p>
        </w:tc>
      </w:tr>
      <w:tr w:rsidR="00432CAD" w:rsidRPr="009E2454" w14:paraId="1904DE96" w14:textId="77777777" w:rsidTr="002F2988">
        <w:tc>
          <w:tcPr>
            <w:tcW w:w="4649" w:type="dxa"/>
          </w:tcPr>
          <w:p w14:paraId="065FB2C0" w14:textId="77777777" w:rsidR="00432CAD" w:rsidRPr="009E2454" w:rsidRDefault="00432CAD" w:rsidP="002F2988">
            <w:pPr>
              <w:numPr>
                <w:ilvl w:val="0"/>
                <w:numId w:val="8"/>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Amendments.</w:t>
            </w:r>
            <w:r w:rsidRPr="009E2454">
              <w:rPr>
                <w:rFonts w:ascii="Calibri" w:eastAsia="Times New Roman" w:hAnsi="Calibri" w:cs="Calibri"/>
                <w:sz w:val="16"/>
                <w:szCs w:val="16"/>
                <w:lang w:val="en-US"/>
              </w:rPr>
              <w:t xml:space="preserve"> The Agreement may be changed and amended only by the means of written numbered amendments thereto, approved and signed by both parties.</w:t>
            </w:r>
          </w:p>
        </w:tc>
        <w:tc>
          <w:tcPr>
            <w:tcW w:w="4649" w:type="dxa"/>
          </w:tcPr>
          <w:p w14:paraId="205932F7" w14:textId="77777777" w:rsidR="00432CAD" w:rsidRPr="009E2454" w:rsidRDefault="00432CAD" w:rsidP="002F2988">
            <w:pPr>
              <w:numPr>
                <w:ilvl w:val="0"/>
                <w:numId w:val="13"/>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Dodatky.</w:t>
            </w:r>
            <w:r w:rsidRPr="009E2454">
              <w:rPr>
                <w:rFonts w:ascii="Calibri" w:eastAsia="Times New Roman" w:hAnsi="Calibri" w:cs="Calibri"/>
                <w:sz w:val="16"/>
                <w:szCs w:val="16"/>
              </w:rPr>
              <w:t xml:space="preserve"> Zmluva môže byť menená iba číslovanými písomnými dodatkami, podpísanými obidvoma stranami.</w:t>
            </w:r>
          </w:p>
        </w:tc>
      </w:tr>
      <w:tr w:rsidR="00432CAD" w:rsidRPr="009E2454" w14:paraId="4A7712B0" w14:textId="77777777" w:rsidTr="002F2988">
        <w:tc>
          <w:tcPr>
            <w:tcW w:w="4649" w:type="dxa"/>
          </w:tcPr>
          <w:p w14:paraId="6ADBE473" w14:textId="77777777" w:rsidR="00432CAD" w:rsidRPr="009E2454" w:rsidRDefault="00432CAD" w:rsidP="002F2988">
            <w:pPr>
              <w:numPr>
                <w:ilvl w:val="0"/>
                <w:numId w:val="8"/>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Other Issues Governance.</w:t>
            </w:r>
            <w:r w:rsidRPr="009E2454">
              <w:rPr>
                <w:rFonts w:ascii="Calibri" w:eastAsia="Times New Roman" w:hAnsi="Calibri" w:cs="Calibri"/>
                <w:sz w:val="16"/>
                <w:szCs w:val="16"/>
                <w:lang w:val="en-US"/>
              </w:rPr>
              <w:t xml:space="preserve"> Issues not explicitly provided for by the Agreement, shall be governed by the relevant provisions of the Act, the Civil Code related to lease and the Act No. 513/1991 Coll. Commercial Code, as amended.</w:t>
            </w:r>
          </w:p>
        </w:tc>
        <w:tc>
          <w:tcPr>
            <w:tcW w:w="4649" w:type="dxa"/>
          </w:tcPr>
          <w:p w14:paraId="10D80651" w14:textId="77777777" w:rsidR="00432CAD" w:rsidRPr="009E2454" w:rsidRDefault="00432CAD" w:rsidP="002F2988">
            <w:pPr>
              <w:numPr>
                <w:ilvl w:val="0"/>
                <w:numId w:val="13"/>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Zmluvou neupravené záležitosti.</w:t>
            </w:r>
            <w:r w:rsidRPr="009E2454">
              <w:rPr>
                <w:rFonts w:ascii="Calibri" w:eastAsia="Times New Roman" w:hAnsi="Calibri" w:cs="Calibri"/>
                <w:sz w:val="16"/>
                <w:szCs w:val="16"/>
              </w:rPr>
              <w:t xml:space="preserve"> Záležitosti, ktoré nie sú výslovne upravené Zmluvou, sa riadia príslušnými ustanoveniami Zákona, Občianskeho zákonníka o nájme a zákona č. 513/1991 Zb. Obchodný zákonník, v znení neskorších predpisov.</w:t>
            </w:r>
          </w:p>
        </w:tc>
      </w:tr>
      <w:tr w:rsidR="00432CAD" w:rsidRPr="009E2454" w14:paraId="0393716D" w14:textId="77777777" w:rsidTr="002F2988">
        <w:tc>
          <w:tcPr>
            <w:tcW w:w="4649" w:type="dxa"/>
          </w:tcPr>
          <w:p w14:paraId="5514CBCB" w14:textId="77777777" w:rsidR="00432CAD" w:rsidRPr="009E2454" w:rsidRDefault="00432CAD" w:rsidP="002F2988">
            <w:pPr>
              <w:numPr>
                <w:ilvl w:val="0"/>
                <w:numId w:val="8"/>
              </w:numPr>
              <w:spacing w:before="120"/>
              <w:rPr>
                <w:rFonts w:ascii="Calibri" w:eastAsia="Times New Roman" w:hAnsi="Calibri" w:cs="Calibri"/>
                <w:sz w:val="16"/>
                <w:szCs w:val="16"/>
                <w:lang w:val="en-US"/>
              </w:rPr>
            </w:pPr>
            <w:r w:rsidRPr="009E2454">
              <w:rPr>
                <w:rFonts w:ascii="Calibri" w:eastAsia="Times New Roman" w:hAnsi="Calibri" w:cs="Calibri"/>
                <w:b/>
                <w:sz w:val="16"/>
                <w:szCs w:val="16"/>
                <w:u w:val="single"/>
                <w:lang w:val="en-US"/>
              </w:rPr>
              <w:t>Notices.</w:t>
            </w:r>
            <w:r w:rsidRPr="009E2454">
              <w:rPr>
                <w:rFonts w:ascii="Calibri" w:eastAsia="Times New Roman" w:hAnsi="Calibri" w:cs="Calibri"/>
                <w:sz w:val="16"/>
                <w:szCs w:val="16"/>
                <w:lang w:val="en-US"/>
              </w:rPr>
              <w:t xml:space="preserve"> All notices, under the Agreement, shall be made in writing, and shall be hand-delivered, sent by registered mail, postage-prepaid, or delivered by a recognized courier service, in all cases to the parties at their respective addresses set forth in the Agreement, or at such other address, of which either party shall notify the other, in accordance with the provisions hereof. Any notice required to be given, hereunder, shall be deemed t</w:t>
            </w:r>
            <w:r>
              <w:rPr>
                <w:rFonts w:ascii="Calibri" w:eastAsia="Times New Roman" w:hAnsi="Calibri" w:cs="Calibri"/>
                <w:sz w:val="16"/>
                <w:szCs w:val="16"/>
                <w:lang w:val="en-US"/>
              </w:rPr>
              <w:t xml:space="preserve">o have been given when received, by notice </w:t>
            </w:r>
            <w:r w:rsidRPr="009E2454">
              <w:rPr>
                <w:rFonts w:ascii="Calibri" w:eastAsia="Times New Roman" w:hAnsi="Calibri" w:cs="Calibri"/>
                <w:sz w:val="16"/>
                <w:szCs w:val="16"/>
                <w:lang w:val="en-US"/>
              </w:rPr>
              <w:t>refused</w:t>
            </w:r>
            <w:r>
              <w:rPr>
                <w:rFonts w:ascii="Calibri" w:eastAsia="Times New Roman" w:hAnsi="Calibri" w:cs="Calibri"/>
                <w:sz w:val="16"/>
                <w:szCs w:val="16"/>
                <w:lang w:val="en-US"/>
              </w:rPr>
              <w:t xml:space="preserve"> or returned to the sender as undelivered, shall be deemed to have been given the day after its dispatch for delivery</w:t>
            </w:r>
            <w:r w:rsidRPr="009E2454">
              <w:rPr>
                <w:rFonts w:ascii="Calibri" w:eastAsia="Times New Roman" w:hAnsi="Calibri" w:cs="Calibri"/>
                <w:sz w:val="16"/>
                <w:szCs w:val="16"/>
                <w:lang w:val="en-US"/>
              </w:rPr>
              <w:t>. Where specifically stated in the Agreement, the parties specifically agree to fax and/or email delivery to the fax numbers and/or email address confirmed by the delivery notice issued by the respective facsimile machine and/or server.</w:t>
            </w:r>
          </w:p>
        </w:tc>
        <w:tc>
          <w:tcPr>
            <w:tcW w:w="4649" w:type="dxa"/>
          </w:tcPr>
          <w:p w14:paraId="19DB0D21" w14:textId="77777777" w:rsidR="00432CAD" w:rsidRPr="009E2454" w:rsidRDefault="00432CAD" w:rsidP="002F2988">
            <w:pPr>
              <w:numPr>
                <w:ilvl w:val="0"/>
                <w:numId w:val="13"/>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Oznámenia.</w:t>
            </w:r>
            <w:r w:rsidRPr="009E2454">
              <w:rPr>
                <w:rFonts w:ascii="Calibri" w:eastAsia="Times New Roman" w:hAnsi="Calibri" w:cs="Calibri"/>
                <w:sz w:val="16"/>
                <w:szCs w:val="16"/>
              </w:rPr>
              <w:t xml:space="preserve"> Všetky oznámenia podľa Zmluvy budú vo všetkých prípadoch v písomnej forme a budú doručené osobne, zaslané doporučenými listom, s vyplateným poštovným alebo dodané uznávanou kuriérskou službou, vo všetkých prípadoch na príslušné adresy strán, ktoré sú uvedené v Zmluve, alebo na také iné adresy, ktoré ktorákoľvek zo strán oznámi druhej strane v súlade s ustanoveniami Zmluvy. Akékoľvek oznámenie, ktoré sa vyžaduje, aby bolo doručené podľa Zmluvy, sa bude poklad</w:t>
            </w:r>
            <w:r>
              <w:rPr>
                <w:rFonts w:ascii="Calibri" w:eastAsia="Times New Roman" w:hAnsi="Calibri" w:cs="Calibri"/>
                <w:sz w:val="16"/>
                <w:szCs w:val="16"/>
              </w:rPr>
              <w:t xml:space="preserve">ať za doručené, ak bolo prijaté dňom jeho prijatia, ak bolo </w:t>
            </w:r>
            <w:r w:rsidRPr="009E2454">
              <w:rPr>
                <w:rFonts w:ascii="Calibri" w:eastAsia="Times New Roman" w:hAnsi="Calibri" w:cs="Calibri"/>
                <w:sz w:val="16"/>
                <w:szCs w:val="16"/>
              </w:rPr>
              <w:t>odmietnuté</w:t>
            </w:r>
            <w:r>
              <w:rPr>
                <w:rFonts w:ascii="Calibri" w:eastAsia="Times New Roman" w:hAnsi="Calibri" w:cs="Calibri"/>
                <w:sz w:val="16"/>
                <w:szCs w:val="16"/>
              </w:rPr>
              <w:t xml:space="preserve"> alebo bolo vrátené odosielateľovi ako nedoručené dňom nasledujúcim po dni jeho odoslania</w:t>
            </w:r>
            <w:r w:rsidRPr="009E2454">
              <w:rPr>
                <w:rFonts w:ascii="Calibri" w:eastAsia="Times New Roman" w:hAnsi="Calibri" w:cs="Calibri"/>
                <w:sz w:val="16"/>
                <w:szCs w:val="16"/>
              </w:rPr>
              <w:t>. Kde je to výslovne stanovené v Zmluve, strany súhlasia s faxovými a/alebo emailovými doručeniami na faxové čísla a/alebo emailové adresy potvrdené doručením oznámenia vydaného príslušným faxom a/alebo serverom.</w:t>
            </w:r>
          </w:p>
        </w:tc>
      </w:tr>
      <w:tr w:rsidR="00432CAD" w:rsidRPr="009E2454" w14:paraId="3C5B4F3A" w14:textId="77777777" w:rsidTr="002F2988">
        <w:tc>
          <w:tcPr>
            <w:tcW w:w="4649" w:type="dxa"/>
          </w:tcPr>
          <w:p w14:paraId="4A730C2F" w14:textId="77777777" w:rsidR="00432CAD" w:rsidRPr="009E2454" w:rsidRDefault="00432CAD" w:rsidP="002F2988">
            <w:pPr>
              <w:numPr>
                <w:ilvl w:val="0"/>
                <w:numId w:val="8"/>
              </w:numPr>
              <w:spacing w:before="120"/>
              <w:rPr>
                <w:rFonts w:ascii="Calibri" w:eastAsia="Times New Roman" w:hAnsi="Calibri" w:cs="Calibri"/>
                <w:sz w:val="16"/>
                <w:szCs w:val="16"/>
              </w:rPr>
            </w:pPr>
            <w:r w:rsidRPr="009E2454">
              <w:rPr>
                <w:rFonts w:ascii="Calibri" w:eastAsia="Times New Roman" w:hAnsi="Calibri" w:cs="Calibri"/>
                <w:b/>
                <w:sz w:val="16"/>
                <w:szCs w:val="16"/>
                <w:u w:val="single"/>
                <w:lang w:val="en-US"/>
              </w:rPr>
              <w:t>Dispute Resolution.</w:t>
            </w:r>
            <w:r w:rsidRPr="009E2454">
              <w:rPr>
                <w:rFonts w:ascii="Calibri" w:eastAsia="Times New Roman" w:hAnsi="Calibri" w:cs="Calibri"/>
                <w:sz w:val="16"/>
                <w:szCs w:val="16"/>
                <w:lang w:val="en-US"/>
              </w:rPr>
              <w:t xml:space="preserve"> Any disputes arising under, or in connection with, the Agreement shall be finally settled by before the Slovak courts for trial.</w:t>
            </w:r>
          </w:p>
        </w:tc>
        <w:tc>
          <w:tcPr>
            <w:tcW w:w="4649" w:type="dxa"/>
          </w:tcPr>
          <w:p w14:paraId="3AA739A5" w14:textId="77777777" w:rsidR="00432CAD" w:rsidRPr="009E2454" w:rsidRDefault="00432CAD" w:rsidP="002F2988">
            <w:pPr>
              <w:numPr>
                <w:ilvl w:val="0"/>
                <w:numId w:val="13"/>
              </w:numPr>
              <w:tabs>
                <w:tab w:val="num" w:pos="391"/>
              </w:tabs>
              <w:spacing w:before="120"/>
              <w:ind w:left="391"/>
              <w:rPr>
                <w:rFonts w:ascii="Calibri" w:eastAsia="Times New Roman" w:hAnsi="Calibri" w:cs="Calibri"/>
                <w:sz w:val="16"/>
                <w:szCs w:val="16"/>
              </w:rPr>
            </w:pPr>
            <w:r w:rsidRPr="009E2454">
              <w:rPr>
                <w:rFonts w:ascii="Calibri" w:eastAsia="Times New Roman" w:hAnsi="Calibri" w:cs="Calibri"/>
                <w:b/>
                <w:sz w:val="16"/>
                <w:szCs w:val="16"/>
                <w:u w:val="single"/>
              </w:rPr>
              <w:t>Riešenie sporov.</w:t>
            </w:r>
            <w:r w:rsidRPr="009E2454">
              <w:rPr>
                <w:rFonts w:ascii="Calibri" w:eastAsia="Times New Roman" w:hAnsi="Calibri" w:cs="Calibri"/>
                <w:sz w:val="16"/>
                <w:szCs w:val="16"/>
              </w:rPr>
              <w:t xml:space="preserve"> Akékoľvek spory vznikajúce zo  Zmluvy alebo v súvislosti s ňou budú s definitívnou platnosťou vyriešené v konaní pred </w:t>
            </w:r>
            <w:r>
              <w:rPr>
                <w:rFonts w:ascii="Calibri" w:eastAsia="Times New Roman" w:hAnsi="Calibri" w:cs="Calibri"/>
                <w:sz w:val="16"/>
                <w:szCs w:val="16"/>
              </w:rPr>
              <w:t xml:space="preserve">príslušnými všeobecnými </w:t>
            </w:r>
            <w:r w:rsidRPr="009E2454">
              <w:rPr>
                <w:rFonts w:ascii="Calibri" w:eastAsia="Times New Roman" w:hAnsi="Calibri" w:cs="Calibri"/>
                <w:sz w:val="16"/>
                <w:szCs w:val="16"/>
              </w:rPr>
              <w:t>slovenskými súdmi.</w:t>
            </w:r>
          </w:p>
        </w:tc>
      </w:tr>
      <w:tr w:rsidR="00432CAD" w:rsidRPr="009E2454" w14:paraId="4D4CD8F2" w14:textId="77777777" w:rsidTr="002F2988">
        <w:tc>
          <w:tcPr>
            <w:tcW w:w="4649" w:type="dxa"/>
          </w:tcPr>
          <w:p w14:paraId="15FB2735" w14:textId="77777777" w:rsidR="00432CAD" w:rsidRPr="009E2454" w:rsidRDefault="00432CAD" w:rsidP="002F2988">
            <w:pPr>
              <w:numPr>
                <w:ilvl w:val="0"/>
                <w:numId w:val="8"/>
              </w:numPr>
              <w:spacing w:before="120"/>
              <w:rPr>
                <w:rFonts w:ascii="Calibri" w:eastAsia="Times New Roman" w:hAnsi="Calibri" w:cs="Calibri"/>
                <w:b/>
                <w:sz w:val="16"/>
                <w:szCs w:val="16"/>
                <w:u w:val="single"/>
                <w:lang w:val="en-US"/>
              </w:rPr>
            </w:pPr>
            <w:r w:rsidRPr="009E2454">
              <w:rPr>
                <w:rFonts w:ascii="Calibri" w:eastAsia="Times New Roman" w:hAnsi="Calibri" w:cs="Calibri"/>
                <w:b/>
                <w:sz w:val="16"/>
                <w:szCs w:val="16"/>
                <w:u w:val="single"/>
                <w:lang w:val="en-US"/>
              </w:rPr>
              <w:t>Transferability.</w:t>
            </w:r>
            <w:r w:rsidRPr="009E2454">
              <w:rPr>
                <w:rFonts w:ascii="Calibri" w:eastAsia="Times New Roman" w:hAnsi="Calibri" w:cs="Calibri"/>
                <w:sz w:val="16"/>
                <w:szCs w:val="16"/>
                <w:lang w:val="en-US"/>
              </w:rPr>
              <w:t xml:space="preserve"> To eliminate any doubts, the Parties hereto declare and herewith confirm that the rights and obligations of the Lessor based on this Lease can be assignable and transferable and thus capable to be subject of pledge in favor of a financing bank of the Lessor.</w:t>
            </w:r>
          </w:p>
        </w:tc>
        <w:tc>
          <w:tcPr>
            <w:tcW w:w="4649" w:type="dxa"/>
          </w:tcPr>
          <w:p w14:paraId="5F1BEC80" w14:textId="77777777" w:rsidR="00432CAD" w:rsidRPr="009E2454" w:rsidRDefault="00432CAD" w:rsidP="002F2988">
            <w:pPr>
              <w:numPr>
                <w:ilvl w:val="0"/>
                <w:numId w:val="13"/>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Prevoditeľnosť.</w:t>
            </w:r>
            <w:r w:rsidRPr="009E2454">
              <w:rPr>
                <w:rFonts w:ascii="Calibri" w:eastAsia="Times New Roman" w:hAnsi="Calibri" w:cs="Calibri"/>
                <w:sz w:val="16"/>
                <w:szCs w:val="16"/>
              </w:rPr>
              <w:t xml:space="preserve"> Pre vylúčenie akýchkoľvek pochybností Zmluvné strany vyhlasujú a týmto potvrdzujú, že práva a povinnosti Prenajímateľa na základe tejto Zmluvy sú postupiteľné alebo prevoditeľné a teda spôsobilé byť predmetom záložného práva v prospech financujúcej banky Prenajímateľa.</w:t>
            </w:r>
          </w:p>
        </w:tc>
      </w:tr>
      <w:tr w:rsidR="00432CAD" w:rsidRPr="009E2454" w14:paraId="44C0310F" w14:textId="77777777" w:rsidTr="002F2988">
        <w:tc>
          <w:tcPr>
            <w:tcW w:w="4649" w:type="dxa"/>
          </w:tcPr>
          <w:p w14:paraId="182B8BB7" w14:textId="77777777" w:rsidR="00432CAD" w:rsidRPr="009E2454" w:rsidRDefault="00432CAD" w:rsidP="002F2988">
            <w:pPr>
              <w:numPr>
                <w:ilvl w:val="0"/>
                <w:numId w:val="8"/>
              </w:numPr>
              <w:spacing w:before="120"/>
              <w:rPr>
                <w:rFonts w:ascii="Calibri" w:eastAsia="Times New Roman" w:hAnsi="Calibri" w:cs="Calibri"/>
                <w:b/>
                <w:sz w:val="16"/>
                <w:szCs w:val="16"/>
                <w:u w:val="single"/>
                <w:lang w:val="en-US"/>
              </w:rPr>
            </w:pPr>
            <w:r w:rsidRPr="009E2454">
              <w:rPr>
                <w:rFonts w:ascii="Calibri" w:eastAsia="Times New Roman" w:hAnsi="Calibri" w:cs="Calibri"/>
                <w:b/>
                <w:sz w:val="16"/>
                <w:szCs w:val="16"/>
                <w:u w:val="single"/>
                <w:lang w:val="en-US"/>
              </w:rPr>
              <w:t>Language and counterparts.</w:t>
            </w:r>
            <w:r w:rsidRPr="009E2454">
              <w:rPr>
                <w:rFonts w:ascii="Calibri" w:eastAsia="Times New Roman" w:hAnsi="Calibri" w:cs="Calibri"/>
                <w:sz w:val="16"/>
                <w:szCs w:val="16"/>
                <w:lang w:val="en-US"/>
              </w:rPr>
              <w:t xml:space="preserve"> This Agreement has been executed in two (2) counterparts, in bilingual English-Slovak version of which each of the parties shall receive one. The Slovak language version shall prevail.</w:t>
            </w:r>
          </w:p>
        </w:tc>
        <w:tc>
          <w:tcPr>
            <w:tcW w:w="4649" w:type="dxa"/>
          </w:tcPr>
          <w:p w14:paraId="599BB01D" w14:textId="77777777" w:rsidR="00432CAD" w:rsidRPr="009E2454" w:rsidRDefault="00432CAD" w:rsidP="002F2988">
            <w:pPr>
              <w:numPr>
                <w:ilvl w:val="0"/>
                <w:numId w:val="13"/>
              </w:numPr>
              <w:tabs>
                <w:tab w:val="num" w:pos="391"/>
              </w:tabs>
              <w:spacing w:before="120"/>
              <w:ind w:left="391"/>
              <w:rPr>
                <w:rFonts w:ascii="Calibri" w:eastAsia="Times New Roman" w:hAnsi="Calibri" w:cs="Calibri"/>
                <w:b/>
                <w:sz w:val="16"/>
                <w:szCs w:val="16"/>
                <w:u w:val="single"/>
              </w:rPr>
            </w:pPr>
            <w:r w:rsidRPr="009E2454">
              <w:rPr>
                <w:rFonts w:ascii="Calibri" w:eastAsia="Times New Roman" w:hAnsi="Calibri" w:cs="Calibri"/>
                <w:b/>
                <w:sz w:val="16"/>
                <w:szCs w:val="16"/>
                <w:u w:val="single"/>
              </w:rPr>
              <w:t>Jazyk a rovnopisy.</w:t>
            </w:r>
            <w:r w:rsidRPr="009E2454">
              <w:rPr>
                <w:rFonts w:ascii="Calibri" w:eastAsia="Times New Roman" w:hAnsi="Calibri" w:cs="Calibri"/>
                <w:sz w:val="16"/>
                <w:szCs w:val="16"/>
              </w:rPr>
              <w:t xml:space="preserve"> Táto Zmluva sa uzatvára v dvoch (2) rovnopisoch, v dvojjazyčnej anglicko-slovenskej verzii, pričom každá strana obdrží jeden rovnopis. Slovenská verzia Zmluvy má prednosť.</w:t>
            </w:r>
          </w:p>
        </w:tc>
      </w:tr>
    </w:tbl>
    <w:p w14:paraId="1C26F534" w14:textId="77777777" w:rsidR="00432CAD" w:rsidRPr="009E2454" w:rsidRDefault="00432CAD" w:rsidP="00432CAD">
      <w:pPr>
        <w:spacing w:before="120"/>
        <w:jc w:val="center"/>
        <w:rPr>
          <w:rFonts w:ascii="Calibri" w:eastAsia="Times New Roman" w:hAnsi="Calibri" w:cs="Calibri"/>
          <w:b/>
          <w:bCs/>
          <w:i/>
          <w:caps/>
          <w:color w:val="3366FF"/>
          <w:sz w:val="16"/>
          <w:szCs w:val="16"/>
          <w:lang w:val="en-US"/>
        </w:rPr>
      </w:pPr>
    </w:p>
    <w:p w14:paraId="1D997CD2" w14:textId="77777777" w:rsidR="00432CAD" w:rsidRDefault="00432CAD" w:rsidP="00432CAD">
      <w:pPr>
        <w:pStyle w:val="SLnormal"/>
        <w:spacing w:before="0"/>
        <w:jc w:val="center"/>
        <w:rPr>
          <w:rFonts w:ascii="Calibri" w:hAnsi="Calibri" w:cs="Calibri"/>
          <w:b/>
          <w:sz w:val="15"/>
          <w:szCs w:val="15"/>
        </w:rPr>
      </w:pPr>
    </w:p>
    <w:p w14:paraId="24564F38" w14:textId="77777777" w:rsidR="00432CAD" w:rsidRDefault="00432CAD" w:rsidP="00432CAD">
      <w:pPr>
        <w:pStyle w:val="SLnormal"/>
        <w:spacing w:before="0"/>
        <w:jc w:val="center"/>
        <w:rPr>
          <w:rFonts w:ascii="Calibri" w:hAnsi="Calibri" w:cs="Calibri"/>
          <w:b/>
          <w:sz w:val="15"/>
          <w:szCs w:val="15"/>
        </w:rPr>
      </w:pPr>
    </w:p>
    <w:p w14:paraId="1E29E366" w14:textId="77777777" w:rsidR="00432CAD" w:rsidRDefault="00432CAD" w:rsidP="00432CAD">
      <w:pPr>
        <w:pStyle w:val="SLnormal"/>
        <w:spacing w:before="0"/>
        <w:jc w:val="center"/>
        <w:rPr>
          <w:rFonts w:ascii="Calibri" w:hAnsi="Calibri" w:cs="Calibri"/>
          <w:b/>
          <w:sz w:val="15"/>
          <w:szCs w:val="15"/>
        </w:rPr>
      </w:pPr>
    </w:p>
    <w:p w14:paraId="4805818B" w14:textId="77777777" w:rsidR="00432CAD" w:rsidRDefault="00432CAD" w:rsidP="00432CAD">
      <w:pPr>
        <w:pStyle w:val="SLnormal"/>
        <w:spacing w:before="0"/>
        <w:jc w:val="center"/>
        <w:rPr>
          <w:rFonts w:ascii="Calibri" w:hAnsi="Calibri" w:cs="Calibri"/>
          <w:b/>
          <w:sz w:val="15"/>
          <w:szCs w:val="15"/>
        </w:rPr>
      </w:pPr>
    </w:p>
    <w:p w14:paraId="164781E6" w14:textId="77777777" w:rsidR="00432CAD" w:rsidRDefault="00432CAD" w:rsidP="00432CAD">
      <w:pPr>
        <w:pStyle w:val="SLnormal"/>
        <w:spacing w:before="0"/>
        <w:jc w:val="center"/>
        <w:rPr>
          <w:rFonts w:ascii="Calibri" w:hAnsi="Calibri" w:cs="Calibri"/>
          <w:b/>
          <w:sz w:val="15"/>
          <w:szCs w:val="15"/>
        </w:rPr>
      </w:pPr>
    </w:p>
    <w:p w14:paraId="504F0435" w14:textId="77777777" w:rsidR="00432CAD" w:rsidRDefault="00432CAD" w:rsidP="00432CAD">
      <w:pPr>
        <w:pStyle w:val="SLnormal"/>
        <w:spacing w:before="0"/>
        <w:jc w:val="center"/>
        <w:rPr>
          <w:rFonts w:ascii="Calibri" w:hAnsi="Calibri" w:cs="Calibri"/>
          <w:b/>
          <w:sz w:val="15"/>
          <w:szCs w:val="15"/>
        </w:rPr>
      </w:pPr>
    </w:p>
    <w:p w14:paraId="0261532E" w14:textId="77777777" w:rsidR="00432CAD" w:rsidRDefault="00432CAD" w:rsidP="00432CAD">
      <w:pPr>
        <w:pStyle w:val="SLnormal"/>
        <w:spacing w:before="0"/>
        <w:jc w:val="center"/>
        <w:rPr>
          <w:rFonts w:ascii="Calibri" w:hAnsi="Calibri" w:cs="Calibri"/>
          <w:b/>
          <w:sz w:val="15"/>
          <w:szCs w:val="15"/>
        </w:rPr>
      </w:pPr>
    </w:p>
    <w:p w14:paraId="6AC0AABB" w14:textId="77777777" w:rsidR="00432CAD" w:rsidRDefault="00432CAD" w:rsidP="00432CAD">
      <w:pPr>
        <w:pStyle w:val="SLnormal"/>
        <w:spacing w:before="0"/>
        <w:jc w:val="center"/>
        <w:rPr>
          <w:rFonts w:ascii="Calibri" w:hAnsi="Calibri" w:cs="Calibri"/>
          <w:b/>
          <w:sz w:val="15"/>
          <w:szCs w:val="15"/>
        </w:rPr>
      </w:pPr>
    </w:p>
    <w:p w14:paraId="7C62A96A" w14:textId="77777777" w:rsidR="00432CAD" w:rsidRDefault="00432CAD" w:rsidP="00432CAD">
      <w:pPr>
        <w:pStyle w:val="SLnormal"/>
        <w:spacing w:before="0"/>
        <w:jc w:val="center"/>
        <w:rPr>
          <w:rFonts w:ascii="Calibri" w:hAnsi="Calibri" w:cs="Calibri"/>
          <w:b/>
          <w:sz w:val="15"/>
          <w:szCs w:val="15"/>
        </w:rPr>
      </w:pPr>
    </w:p>
    <w:p w14:paraId="700A4469" w14:textId="77777777" w:rsidR="00432CAD" w:rsidRDefault="00432CAD" w:rsidP="00432CAD">
      <w:pPr>
        <w:pStyle w:val="SLnormal"/>
        <w:spacing w:before="0"/>
        <w:jc w:val="center"/>
        <w:rPr>
          <w:rFonts w:ascii="Calibri" w:hAnsi="Calibri" w:cs="Calibri"/>
          <w:b/>
          <w:sz w:val="15"/>
          <w:szCs w:val="15"/>
        </w:rPr>
      </w:pPr>
    </w:p>
    <w:p w14:paraId="54EF688E" w14:textId="77777777" w:rsidR="00432CAD" w:rsidRDefault="00432CAD" w:rsidP="00432CAD">
      <w:pPr>
        <w:pStyle w:val="SLnormal"/>
        <w:spacing w:before="0"/>
        <w:jc w:val="center"/>
        <w:rPr>
          <w:rFonts w:ascii="Calibri" w:hAnsi="Calibri" w:cs="Calibri"/>
          <w:b/>
          <w:sz w:val="15"/>
          <w:szCs w:val="15"/>
        </w:rPr>
      </w:pPr>
    </w:p>
    <w:p w14:paraId="7F8AE586" w14:textId="77777777" w:rsidR="00432CAD" w:rsidRDefault="00432CAD" w:rsidP="00432CAD">
      <w:pPr>
        <w:pStyle w:val="SLnormal"/>
        <w:spacing w:before="0"/>
        <w:jc w:val="center"/>
        <w:rPr>
          <w:rFonts w:ascii="Calibri" w:hAnsi="Calibri" w:cs="Calibri"/>
          <w:b/>
          <w:sz w:val="15"/>
          <w:szCs w:val="15"/>
        </w:rPr>
      </w:pPr>
    </w:p>
    <w:p w14:paraId="0E9452FF" w14:textId="77777777" w:rsidR="00432CAD" w:rsidRDefault="00432CAD" w:rsidP="00432CAD">
      <w:pPr>
        <w:pStyle w:val="SLnormal"/>
        <w:spacing w:before="0"/>
        <w:jc w:val="center"/>
        <w:rPr>
          <w:rFonts w:ascii="Calibri" w:hAnsi="Calibri" w:cs="Calibri"/>
          <w:b/>
          <w:sz w:val="15"/>
          <w:szCs w:val="15"/>
        </w:rPr>
      </w:pPr>
    </w:p>
    <w:p w14:paraId="6B40CA4A" w14:textId="77777777" w:rsidR="00432CAD" w:rsidRDefault="00432CAD" w:rsidP="00432CAD">
      <w:pPr>
        <w:pStyle w:val="SLnormal"/>
        <w:spacing w:before="0"/>
        <w:jc w:val="center"/>
        <w:rPr>
          <w:rFonts w:ascii="Calibri" w:hAnsi="Calibri" w:cs="Calibri"/>
          <w:b/>
          <w:sz w:val="15"/>
          <w:szCs w:val="15"/>
        </w:rPr>
      </w:pPr>
    </w:p>
    <w:p w14:paraId="2F9D67EE" w14:textId="77777777" w:rsidR="00432CAD" w:rsidRPr="00F7230B" w:rsidRDefault="00432CAD" w:rsidP="00432CAD">
      <w:pPr>
        <w:pStyle w:val="SLnormal"/>
        <w:spacing w:before="0"/>
        <w:jc w:val="center"/>
        <w:rPr>
          <w:rFonts w:ascii="Calibri" w:hAnsi="Calibri" w:cs="Calibri"/>
          <w:b/>
          <w:sz w:val="15"/>
          <w:szCs w:val="15"/>
        </w:rPr>
      </w:pPr>
      <w:r w:rsidRPr="00F7230B">
        <w:rPr>
          <w:rFonts w:ascii="Calibri" w:hAnsi="Calibri" w:cs="Calibri"/>
          <w:b/>
          <w:sz w:val="15"/>
          <w:szCs w:val="15"/>
        </w:rPr>
        <w:t>ANNEX NO. 2</w:t>
      </w:r>
    </w:p>
    <w:p w14:paraId="44A8D06E" w14:textId="77777777" w:rsidR="00432CAD" w:rsidRPr="00F7230B" w:rsidRDefault="00432CAD" w:rsidP="00432CAD">
      <w:pPr>
        <w:pStyle w:val="SLnormal"/>
        <w:spacing w:before="0"/>
        <w:jc w:val="center"/>
        <w:rPr>
          <w:rFonts w:ascii="Calibri" w:hAnsi="Calibri" w:cs="Calibri"/>
          <w:b/>
          <w:sz w:val="15"/>
          <w:szCs w:val="15"/>
        </w:rPr>
      </w:pPr>
      <w:r>
        <w:rPr>
          <w:rFonts w:ascii="Calibri" w:hAnsi="Calibri" w:cs="Calibri"/>
          <w:b/>
          <w:sz w:val="15"/>
          <w:szCs w:val="15"/>
        </w:rPr>
        <w:t>PREMISES</w:t>
      </w:r>
      <w:r w:rsidRPr="00F7230B">
        <w:rPr>
          <w:rFonts w:ascii="Calibri" w:hAnsi="Calibri" w:cs="Calibri"/>
          <w:b/>
          <w:sz w:val="15"/>
          <w:szCs w:val="15"/>
        </w:rPr>
        <w:t xml:space="preserve"> PLAN</w:t>
      </w:r>
    </w:p>
    <w:p w14:paraId="1B50E3EE" w14:textId="77777777" w:rsidR="00432CAD" w:rsidRPr="00F7230B" w:rsidRDefault="00432CAD" w:rsidP="00432CAD">
      <w:pPr>
        <w:pStyle w:val="Header"/>
        <w:tabs>
          <w:tab w:val="clear" w:pos="4703"/>
          <w:tab w:val="right" w:pos="4649"/>
        </w:tabs>
        <w:spacing w:before="120"/>
        <w:jc w:val="center"/>
        <w:rPr>
          <w:rFonts w:ascii="Calibri" w:hAnsi="Calibri" w:cs="Calibri"/>
          <w:b/>
          <w:bCs/>
          <w:i/>
          <w:caps/>
          <w:color w:val="3366FF"/>
          <w:sz w:val="16"/>
          <w:szCs w:val="16"/>
          <w:lang w:val="pl-PL"/>
        </w:rPr>
      </w:pPr>
      <w:r w:rsidRPr="00F7230B">
        <w:rPr>
          <w:rFonts w:ascii="Calibri" w:hAnsi="Calibri" w:cs="Calibri"/>
          <w:b/>
          <w:bCs/>
          <w:i/>
          <w:caps/>
          <w:color w:val="3366FF"/>
          <w:sz w:val="16"/>
          <w:szCs w:val="16"/>
          <w:lang w:val="pl-PL"/>
        </w:rPr>
        <w:t>Príloha č. 2</w:t>
      </w:r>
      <w:r w:rsidRPr="00F7230B">
        <w:rPr>
          <w:rFonts w:ascii="Calibri" w:hAnsi="Calibri" w:cs="Calibri"/>
          <w:b/>
          <w:bCs/>
          <w:i/>
          <w:caps/>
          <w:color w:val="3366FF"/>
          <w:sz w:val="16"/>
          <w:szCs w:val="16"/>
          <w:lang w:val="pl-PL"/>
        </w:rPr>
        <w:br/>
        <w:t xml:space="preserve">Plán Priestorov </w:t>
      </w:r>
    </w:p>
    <w:p w14:paraId="0944DE62" w14:textId="494CE08B" w:rsidR="00432CAD" w:rsidRDefault="00432CAD" w:rsidP="00432CAD">
      <w:pPr>
        <w:spacing w:before="0" w:after="200" w:line="276" w:lineRule="auto"/>
        <w:jc w:val="left"/>
        <w:rPr>
          <w:rFonts w:asciiTheme="minorHAnsi" w:hAnsiTheme="minorHAnsi"/>
          <w:sz w:val="20"/>
          <w:szCs w:val="20"/>
        </w:rPr>
      </w:pPr>
    </w:p>
    <w:sectPr w:rsidR="00432CAD">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5EE8A" w14:textId="77777777" w:rsidR="00F31C0C" w:rsidRDefault="00F31C0C">
      <w:pPr>
        <w:spacing w:before="0"/>
      </w:pPr>
      <w:r>
        <w:separator/>
      </w:r>
    </w:p>
  </w:endnote>
  <w:endnote w:type="continuationSeparator" w:id="0">
    <w:p w14:paraId="3559C6BC" w14:textId="77777777" w:rsidR="00F31C0C" w:rsidRDefault="00F31C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36FE" w14:textId="77777777" w:rsidR="00084D51" w:rsidRPr="005E1A1B" w:rsidRDefault="00084D51">
    <w:pPr>
      <w:pStyle w:val="Footer"/>
      <w:rPr>
        <w:rFonts w:asciiTheme="minorHAnsi" w:hAnsiTheme="minorHAnsi"/>
        <w:sz w:val="18"/>
        <w:szCs w:val="18"/>
        <w:lang w:val="en-US"/>
      </w:rPr>
    </w:pPr>
    <w:r>
      <w:rPr>
        <w:rFonts w:asciiTheme="minorHAnsi" w:hAnsiTheme="minorHAnsi"/>
        <w:sz w:val="18"/>
        <w:szCs w:val="18"/>
        <w:lang w:val="en-US"/>
      </w:rPr>
      <w:tab/>
    </w:r>
    <w:r w:rsidRPr="005E1A1B">
      <w:rPr>
        <w:rFonts w:asciiTheme="minorHAnsi" w:hAnsiTheme="minorHAnsi"/>
        <w:sz w:val="18"/>
        <w:szCs w:val="18"/>
        <w:lang w:val="en-US"/>
      </w:rPr>
      <w:fldChar w:fldCharType="begin"/>
    </w:r>
    <w:r w:rsidRPr="005E1A1B">
      <w:rPr>
        <w:rFonts w:asciiTheme="minorHAnsi" w:hAnsiTheme="minorHAnsi"/>
        <w:sz w:val="18"/>
        <w:szCs w:val="18"/>
        <w:lang w:val="en-US"/>
      </w:rPr>
      <w:instrText>PAGE   \* MERGEFORMAT</w:instrText>
    </w:r>
    <w:r w:rsidRPr="005E1A1B">
      <w:rPr>
        <w:rFonts w:asciiTheme="minorHAnsi" w:hAnsiTheme="minorHAnsi"/>
        <w:sz w:val="18"/>
        <w:szCs w:val="18"/>
        <w:lang w:val="en-US"/>
      </w:rPr>
      <w:fldChar w:fldCharType="separate"/>
    </w:r>
    <w:r w:rsidR="00810FD1" w:rsidRPr="00810FD1">
      <w:rPr>
        <w:rFonts w:asciiTheme="minorHAnsi" w:hAnsiTheme="minorHAnsi"/>
        <w:noProof/>
        <w:sz w:val="18"/>
        <w:szCs w:val="18"/>
      </w:rPr>
      <w:t>4</w:t>
    </w:r>
    <w:r w:rsidRPr="005E1A1B">
      <w:rPr>
        <w:rFonts w:asciiTheme="minorHAnsi" w:hAnsiTheme="minorHAnsi"/>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608B9" w14:textId="77777777" w:rsidR="00F31C0C" w:rsidRDefault="00F31C0C">
      <w:pPr>
        <w:spacing w:before="0"/>
      </w:pPr>
      <w:r>
        <w:separator/>
      </w:r>
    </w:p>
  </w:footnote>
  <w:footnote w:type="continuationSeparator" w:id="0">
    <w:p w14:paraId="67EFC42E" w14:textId="77777777" w:rsidR="00F31C0C" w:rsidRDefault="00F31C0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10CE" w14:textId="77777777" w:rsidR="00084D51" w:rsidRPr="009E2454" w:rsidRDefault="00084D51" w:rsidP="002F2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E0"/>
    <w:multiLevelType w:val="multilevel"/>
    <w:tmpl w:val="8304B264"/>
    <w:lvl w:ilvl="0">
      <w:start w:val="1"/>
      <w:numFmt w:val="decimal"/>
      <w:lvlText w:val="%1."/>
      <w:lvlJc w:val="left"/>
      <w:pPr>
        <w:tabs>
          <w:tab w:val="num" w:pos="360"/>
        </w:tabs>
        <w:ind w:left="360" w:hanging="360"/>
      </w:pPr>
      <w:rPr>
        <w:rFonts w:hint="default"/>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2830E37"/>
    <w:multiLevelType w:val="hybridMultilevel"/>
    <w:tmpl w:val="B38CB1CA"/>
    <w:lvl w:ilvl="0" w:tplc="2880322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92CF7"/>
    <w:multiLevelType w:val="hybridMultilevel"/>
    <w:tmpl w:val="58705694"/>
    <w:lvl w:ilvl="0" w:tplc="FFFFFFFF">
      <w:start w:val="1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0BCB26CA"/>
    <w:multiLevelType w:val="multilevel"/>
    <w:tmpl w:val="B20271D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4">
    <w:nsid w:val="15B90B6B"/>
    <w:multiLevelType w:val="hybridMultilevel"/>
    <w:tmpl w:val="3FA4DE9E"/>
    <w:lvl w:ilvl="0" w:tplc="AE00B5F0">
      <w:start w:val="7"/>
      <w:numFmt w:val="decimal"/>
      <w:lvlText w:val="%1."/>
      <w:lvlJc w:val="left"/>
      <w:pPr>
        <w:ind w:left="748" w:hanging="360"/>
      </w:pPr>
      <w:rPr>
        <w:rFonts w:hint="default"/>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5">
    <w:nsid w:val="1EE56375"/>
    <w:multiLevelType w:val="hybridMultilevel"/>
    <w:tmpl w:val="71320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D430DE"/>
    <w:multiLevelType w:val="hybridMultilevel"/>
    <w:tmpl w:val="F6DCFA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FB7F3A"/>
    <w:multiLevelType w:val="hybridMultilevel"/>
    <w:tmpl w:val="FF26F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031DA3"/>
    <w:multiLevelType w:val="hybridMultilevel"/>
    <w:tmpl w:val="F2CAF922"/>
    <w:lvl w:ilvl="0" w:tplc="556A15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444287"/>
    <w:multiLevelType w:val="hybridMultilevel"/>
    <w:tmpl w:val="685ABDC6"/>
    <w:lvl w:ilvl="0" w:tplc="111CE2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B16334"/>
    <w:multiLevelType w:val="hybridMultilevel"/>
    <w:tmpl w:val="0366DBB4"/>
    <w:lvl w:ilvl="0" w:tplc="357C39CE">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0351C1"/>
    <w:multiLevelType w:val="multilevel"/>
    <w:tmpl w:val="E6AE2C84"/>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12">
    <w:nsid w:val="50546347"/>
    <w:multiLevelType w:val="hybridMultilevel"/>
    <w:tmpl w:val="E74008EA"/>
    <w:lvl w:ilvl="0" w:tplc="6BEA62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4419E0"/>
    <w:multiLevelType w:val="hybridMultilevel"/>
    <w:tmpl w:val="9DF66F5C"/>
    <w:lvl w:ilvl="0" w:tplc="A470E6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A22B3D"/>
    <w:multiLevelType w:val="hybridMultilevel"/>
    <w:tmpl w:val="26BEB210"/>
    <w:lvl w:ilvl="0" w:tplc="BBC639E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52287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1F25DB"/>
    <w:multiLevelType w:val="hybridMultilevel"/>
    <w:tmpl w:val="251ABC2A"/>
    <w:lvl w:ilvl="0" w:tplc="1B18AB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623682"/>
    <w:multiLevelType w:val="hybridMultilevel"/>
    <w:tmpl w:val="8924CFBA"/>
    <w:lvl w:ilvl="0" w:tplc="FFFFFFFF">
      <w:start w:val="1"/>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8B24493"/>
    <w:multiLevelType w:val="hybridMultilevel"/>
    <w:tmpl w:val="588436F8"/>
    <w:lvl w:ilvl="0" w:tplc="55C261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DE03B8"/>
    <w:multiLevelType w:val="hybridMultilevel"/>
    <w:tmpl w:val="3F7C04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A93B4A"/>
    <w:multiLevelType w:val="hybridMultilevel"/>
    <w:tmpl w:val="8708BA6C"/>
    <w:lvl w:ilvl="0" w:tplc="FFFFFFFF">
      <w:start w:val="13"/>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1"/>
    <w:lvlOverride w:ilvl="2">
      <w:lvl w:ilvl="2">
        <w:start w:val="1"/>
        <w:numFmt w:val="decimal"/>
        <w:pStyle w:val="ENAgreementL3"/>
        <w:lvlText w:val="%1.%2.%3"/>
        <w:lvlJc w:val="left"/>
        <w:pPr>
          <w:tabs>
            <w:tab w:val="num" w:pos="1134"/>
          </w:tabs>
          <w:ind w:left="1134" w:hanging="567"/>
        </w:pPr>
        <w:rPr>
          <w:rFonts w:asciiTheme="minorHAnsi" w:hAnsiTheme="minorHAnsi" w:hint="default"/>
          <w:b w:val="0"/>
          <w:i w:val="0"/>
          <w:sz w:val="20"/>
        </w:rPr>
      </w:lvl>
    </w:lvlOverride>
  </w:num>
  <w:num w:numId="2">
    <w:abstractNumId w:val="11"/>
    <w:lvlOverride w:ilvl="0">
      <w:lvl w:ilvl="0">
        <w:start w:val="1"/>
        <w:numFmt w:val="decimal"/>
        <w:pStyle w:val="ENAgreementL1"/>
        <w:lvlText w:val="%1"/>
        <w:lvlJc w:val="left"/>
        <w:pPr>
          <w:tabs>
            <w:tab w:val="num" w:pos="567"/>
          </w:tabs>
          <w:ind w:left="567" w:hanging="567"/>
        </w:pPr>
        <w:rPr>
          <w:rFonts w:asciiTheme="minorHAnsi" w:hAnsiTheme="minorHAnsi" w:hint="default"/>
          <w:b/>
          <w:caps/>
          <w:smallCaps w:val="0"/>
          <w:sz w:val="20"/>
        </w:rPr>
      </w:lvl>
    </w:lvlOverride>
    <w:lvlOverride w:ilvl="1">
      <w:lvl w:ilvl="1">
        <w:start w:val="1"/>
        <w:numFmt w:val="decimal"/>
        <w:pStyle w:val="ENAgreementL2"/>
        <w:lvlText w:val="%1.%2"/>
        <w:lvlJc w:val="left"/>
        <w:pPr>
          <w:tabs>
            <w:tab w:val="num" w:pos="567"/>
          </w:tabs>
          <w:ind w:left="567" w:hanging="567"/>
        </w:pPr>
        <w:rPr>
          <w:rFonts w:asciiTheme="minorHAnsi" w:hAnsiTheme="minorHAnsi" w:hint="default"/>
          <w:sz w:val="20"/>
        </w:rPr>
      </w:lvl>
    </w:lvlOverride>
  </w:num>
  <w:num w:numId="3">
    <w:abstractNumId w:val="3"/>
    <w:lvlOverride w:ilvl="0">
      <w:lvl w:ilvl="0">
        <w:start w:val="1"/>
        <w:numFmt w:val="decimal"/>
        <w:pStyle w:val="SKAgreementL1"/>
        <w:lvlText w:val="%1"/>
        <w:lvlJc w:val="left"/>
        <w:pPr>
          <w:tabs>
            <w:tab w:val="num" w:pos="567"/>
          </w:tabs>
          <w:ind w:left="567" w:hanging="567"/>
        </w:pPr>
        <w:rPr>
          <w:rFonts w:asciiTheme="minorHAnsi" w:hAnsiTheme="minorHAnsi" w:hint="default"/>
          <w:b/>
          <w:caps/>
          <w:smallCaps w:val="0"/>
          <w:sz w:val="20"/>
        </w:rPr>
      </w:lvl>
    </w:lvlOverride>
    <w:lvlOverride w:ilvl="1">
      <w:lvl w:ilvl="1">
        <w:start w:val="1"/>
        <w:numFmt w:val="decimal"/>
        <w:pStyle w:val="SKAgreementL2"/>
        <w:lvlText w:val="%1.%2"/>
        <w:lvlJc w:val="left"/>
        <w:pPr>
          <w:tabs>
            <w:tab w:val="num" w:pos="567"/>
          </w:tabs>
          <w:ind w:left="567" w:hanging="567"/>
        </w:pPr>
        <w:rPr>
          <w:rFonts w:asciiTheme="minorHAnsi" w:hAnsiTheme="minorHAnsi" w:hint="default"/>
          <w:b w:val="0"/>
          <w:i w:val="0"/>
          <w:sz w:val="20"/>
        </w:rPr>
      </w:lvl>
    </w:lvlOverride>
    <w:lvlOverride w:ilvl="2">
      <w:lvl w:ilvl="2">
        <w:start w:val="1"/>
        <w:numFmt w:val="decimal"/>
        <w:pStyle w:val="SKAgreementL3"/>
        <w:lvlText w:val="%1.%2.%3"/>
        <w:lvlJc w:val="left"/>
        <w:pPr>
          <w:tabs>
            <w:tab w:val="num" w:pos="1134"/>
          </w:tabs>
          <w:ind w:left="1134" w:hanging="567"/>
        </w:pPr>
        <w:rPr>
          <w:rFonts w:asciiTheme="minorHAnsi" w:hAnsiTheme="minorHAnsi" w:hint="default"/>
          <w:b w:val="0"/>
          <w:i w:val="0"/>
          <w:sz w:val="20"/>
        </w:rPr>
      </w:lvl>
    </w:lvlOverride>
    <w:lvlOverride w:ilvl="3">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Override>
    <w:lvlOverride w:ilvl="4">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Override>
    <w:lvlOverride w:ilvl="5">
      <w:lvl w:ilvl="5">
        <w:start w:val="1"/>
        <w:numFmt w:val="bullet"/>
        <w:pStyle w:val="SKAgreementL6"/>
        <w:lvlText w:val=""/>
        <w:lvlJc w:val="left"/>
        <w:pPr>
          <w:tabs>
            <w:tab w:val="num" w:pos="2835"/>
          </w:tabs>
          <w:ind w:left="2835" w:hanging="567"/>
        </w:pPr>
        <w:rPr>
          <w:rFonts w:ascii="Symbol" w:hAnsi="Symbol" w:hint="default"/>
          <w:b w:val="0"/>
          <w:i w:val="0"/>
          <w:sz w:val="20"/>
        </w:rPr>
      </w:lvl>
    </w:lvlOverride>
    <w:lvlOverride w:ilvl="6">
      <w:lvl w:ilvl="6">
        <w:start w:val="1"/>
        <w:numFmt w:val="none"/>
        <w:pStyle w:val="SKAgreementL7"/>
        <w:lvlText w:val=""/>
        <w:lvlJc w:val="left"/>
        <w:pPr>
          <w:ind w:left="2835" w:firstLine="0"/>
        </w:pPr>
        <w:rPr>
          <w:rFonts w:ascii="Times New Roman" w:hAnsi="Times New Roman" w:hint="default"/>
          <w:b w:val="0"/>
          <w:i w:val="0"/>
          <w:sz w:val="20"/>
        </w:rPr>
      </w:lvl>
    </w:lvlOverride>
    <w:lvlOverride w:ilvl="7">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Override>
    <w:lvlOverride w:ilvl="8">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lvlOverride>
  </w:num>
  <w:num w:numId="4">
    <w:abstractNumId w:val="13"/>
  </w:num>
  <w:num w:numId="5">
    <w:abstractNumId w:val="8"/>
  </w:num>
  <w:num w:numId="6">
    <w:abstractNumId w:val="16"/>
  </w:num>
  <w:num w:numId="7">
    <w:abstractNumId w:val="7"/>
  </w:num>
  <w:num w:numId="8">
    <w:abstractNumId w:val="5"/>
  </w:num>
  <w:num w:numId="9">
    <w:abstractNumId w:val="14"/>
  </w:num>
  <w:num w:numId="10">
    <w:abstractNumId w:val="1"/>
  </w:num>
  <w:num w:numId="11">
    <w:abstractNumId w:val="9"/>
  </w:num>
  <w:num w:numId="12">
    <w:abstractNumId w:val="12"/>
  </w:num>
  <w:num w:numId="13">
    <w:abstractNumId w:val="18"/>
  </w:num>
  <w:num w:numId="14">
    <w:abstractNumId w:val="3"/>
  </w:num>
  <w:num w:numId="15">
    <w:abstractNumId w:val="20"/>
  </w:num>
  <w:num w:numId="16">
    <w:abstractNumId w:val="2"/>
  </w:num>
  <w:num w:numId="17">
    <w:abstractNumId w:val="11"/>
  </w:num>
  <w:num w:numId="18">
    <w:abstractNumId w:val="15"/>
  </w:num>
  <w:num w:numId="19">
    <w:abstractNumId w:val="3"/>
    <w:lvlOverride w:ilvl="0">
      <w:startOverride w:val="1"/>
      <w:lvl w:ilvl="0">
        <w:start w:val="1"/>
        <w:numFmt w:val="decimal"/>
        <w:pStyle w:val="SKAgreementL1"/>
        <w:lvlText w:val="%1"/>
        <w:lvlJc w:val="left"/>
        <w:pPr>
          <w:tabs>
            <w:tab w:val="num" w:pos="567"/>
          </w:tabs>
          <w:ind w:left="567" w:hanging="567"/>
        </w:pPr>
        <w:rPr>
          <w:rFonts w:asciiTheme="minorHAnsi" w:hAnsiTheme="minorHAnsi" w:hint="default"/>
          <w:b/>
          <w:caps/>
          <w:smallCaps w:val="0"/>
          <w:sz w:val="20"/>
        </w:rPr>
      </w:lvl>
    </w:lvlOverride>
    <w:lvlOverride w:ilvl="1">
      <w:startOverride w:val="1"/>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Override>
    <w:lvlOverride w:ilvl="2">
      <w:startOverride w:val="1"/>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Override>
    <w:lvlOverride w:ilvl="3">
      <w:startOverride w:val="1"/>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Override>
    <w:lvlOverride w:ilvl="4">
      <w:startOverride w:val="1"/>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Override>
    <w:lvlOverride w:ilvl="5">
      <w:startOverride w:val="1"/>
      <w:lvl w:ilvl="5">
        <w:start w:val="1"/>
        <w:numFmt w:val="bullet"/>
        <w:pStyle w:val="SKAgreementL6"/>
        <w:lvlText w:val=""/>
        <w:lvlJc w:val="left"/>
        <w:pPr>
          <w:tabs>
            <w:tab w:val="num" w:pos="2835"/>
          </w:tabs>
          <w:ind w:left="2835" w:hanging="567"/>
        </w:pPr>
        <w:rPr>
          <w:rFonts w:ascii="Symbol" w:hAnsi="Symbol" w:hint="default"/>
          <w:b w:val="0"/>
          <w:i w:val="0"/>
          <w:sz w:val="20"/>
        </w:rPr>
      </w:lvl>
    </w:lvlOverride>
    <w:lvlOverride w:ilvl="6">
      <w:startOverride w:val="1"/>
      <w:lvl w:ilvl="6">
        <w:start w:val="1"/>
        <w:numFmt w:val="none"/>
        <w:pStyle w:val="SKAgreementL7"/>
        <w:lvlText w:val=""/>
        <w:lvlJc w:val="left"/>
        <w:pPr>
          <w:ind w:left="2835" w:firstLine="0"/>
        </w:pPr>
        <w:rPr>
          <w:rFonts w:ascii="Times New Roman" w:hAnsi="Times New Roman" w:hint="default"/>
          <w:b w:val="0"/>
          <w:i w:val="0"/>
          <w:sz w:val="20"/>
        </w:rPr>
      </w:lvl>
    </w:lvlOverride>
    <w:lvlOverride w:ilvl="7">
      <w:startOverride w:val="1"/>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Override>
    <w:lvlOverride w:ilvl="8">
      <w:startOverride w:val="1"/>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lvlOverride>
  </w:num>
  <w:num w:numId="20">
    <w:abstractNumId w:val="3"/>
    <w:lvlOverride w:ilvl="0">
      <w:startOverride w:val="1"/>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Override>
    <w:lvlOverride w:ilvl="1">
      <w:startOverride w:val="1"/>
      <w:lvl w:ilvl="1">
        <w:start w:val="1"/>
        <w:numFmt w:val="decimal"/>
        <w:pStyle w:val="SKAgreementL2"/>
        <w:lvlText w:val="%1.%2"/>
        <w:lvlJc w:val="left"/>
        <w:pPr>
          <w:tabs>
            <w:tab w:val="num" w:pos="567"/>
          </w:tabs>
          <w:ind w:left="567" w:hanging="567"/>
        </w:pPr>
        <w:rPr>
          <w:rFonts w:asciiTheme="minorHAnsi" w:hAnsiTheme="minorHAnsi" w:hint="default"/>
          <w:b w:val="0"/>
          <w:i w:val="0"/>
          <w:sz w:val="20"/>
        </w:rPr>
      </w:lvl>
    </w:lvlOverride>
    <w:lvlOverride w:ilvl="2">
      <w:startOverride w:val="1"/>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Override>
    <w:lvlOverride w:ilvl="3">
      <w:startOverride w:val="1"/>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Override>
    <w:lvlOverride w:ilvl="4">
      <w:startOverride w:val="1"/>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Override>
    <w:lvlOverride w:ilvl="5">
      <w:startOverride w:val="1"/>
      <w:lvl w:ilvl="5">
        <w:start w:val="1"/>
        <w:numFmt w:val="bullet"/>
        <w:pStyle w:val="SKAgreementL6"/>
        <w:lvlText w:val=""/>
        <w:lvlJc w:val="left"/>
        <w:pPr>
          <w:tabs>
            <w:tab w:val="num" w:pos="2835"/>
          </w:tabs>
          <w:ind w:left="2835" w:hanging="567"/>
        </w:pPr>
        <w:rPr>
          <w:rFonts w:ascii="Symbol" w:hAnsi="Symbol" w:hint="default"/>
          <w:b w:val="0"/>
          <w:i w:val="0"/>
          <w:sz w:val="20"/>
        </w:rPr>
      </w:lvl>
    </w:lvlOverride>
    <w:lvlOverride w:ilvl="6">
      <w:startOverride w:val="1"/>
      <w:lvl w:ilvl="6">
        <w:start w:val="1"/>
        <w:numFmt w:val="none"/>
        <w:pStyle w:val="SKAgreementL7"/>
        <w:lvlText w:val=""/>
        <w:lvlJc w:val="left"/>
        <w:pPr>
          <w:ind w:left="2835" w:firstLine="0"/>
        </w:pPr>
        <w:rPr>
          <w:rFonts w:ascii="Times New Roman" w:hAnsi="Times New Roman" w:hint="default"/>
          <w:b w:val="0"/>
          <w:i w:val="0"/>
          <w:sz w:val="20"/>
        </w:rPr>
      </w:lvl>
    </w:lvlOverride>
    <w:lvlOverride w:ilvl="7">
      <w:startOverride w:val="1"/>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Override>
    <w:lvlOverride w:ilvl="8">
      <w:startOverride w:val="1"/>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lvlOverride>
  </w:num>
  <w:num w:numId="21">
    <w:abstractNumId w:val="3"/>
    <w:lvlOverride w:ilvl="0">
      <w:startOverride w:val="1"/>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Override>
    <w:lvlOverride w:ilvl="1">
      <w:startOverride w:val="1"/>
      <w:lvl w:ilvl="1">
        <w:start w:val="1"/>
        <w:numFmt w:val="decimal"/>
        <w:pStyle w:val="SKAgreementL2"/>
        <w:lvlText w:val="%1.%2"/>
        <w:lvlJc w:val="left"/>
        <w:pPr>
          <w:tabs>
            <w:tab w:val="num" w:pos="567"/>
          </w:tabs>
          <w:ind w:left="567" w:hanging="567"/>
        </w:pPr>
        <w:rPr>
          <w:rFonts w:asciiTheme="minorHAnsi" w:hAnsiTheme="minorHAnsi" w:hint="default"/>
          <w:b w:val="0"/>
          <w:i w:val="0"/>
          <w:sz w:val="20"/>
          <w:lang w:val="en-US"/>
        </w:rPr>
      </w:lvl>
    </w:lvlOverride>
    <w:lvlOverride w:ilvl="2">
      <w:startOverride w:val="1"/>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Override>
    <w:lvlOverride w:ilvl="3">
      <w:startOverride w:val="1"/>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Override>
    <w:lvlOverride w:ilvl="4">
      <w:startOverride w:val="1"/>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Override>
    <w:lvlOverride w:ilvl="5">
      <w:startOverride w:val="1"/>
      <w:lvl w:ilvl="5">
        <w:start w:val="1"/>
        <w:numFmt w:val="bullet"/>
        <w:pStyle w:val="SKAgreementL6"/>
        <w:lvlText w:val=""/>
        <w:lvlJc w:val="left"/>
        <w:pPr>
          <w:tabs>
            <w:tab w:val="num" w:pos="2835"/>
          </w:tabs>
          <w:ind w:left="2835" w:hanging="567"/>
        </w:pPr>
        <w:rPr>
          <w:rFonts w:ascii="Symbol" w:hAnsi="Symbol" w:hint="default"/>
          <w:b w:val="0"/>
          <w:i w:val="0"/>
          <w:sz w:val="20"/>
        </w:rPr>
      </w:lvl>
    </w:lvlOverride>
    <w:lvlOverride w:ilvl="6">
      <w:startOverride w:val="1"/>
      <w:lvl w:ilvl="6">
        <w:start w:val="1"/>
        <w:numFmt w:val="none"/>
        <w:pStyle w:val="SKAgreementL7"/>
        <w:lvlText w:val=""/>
        <w:lvlJc w:val="left"/>
        <w:pPr>
          <w:ind w:left="2835" w:firstLine="0"/>
        </w:pPr>
        <w:rPr>
          <w:rFonts w:ascii="Times New Roman" w:hAnsi="Times New Roman" w:hint="default"/>
          <w:b w:val="0"/>
          <w:i w:val="0"/>
          <w:sz w:val="20"/>
        </w:rPr>
      </w:lvl>
    </w:lvlOverride>
    <w:lvlOverride w:ilvl="7">
      <w:startOverride w:val="1"/>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Override>
    <w:lvlOverride w:ilvl="8">
      <w:startOverride w:val="1"/>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lvlOverride>
  </w:num>
  <w:num w:numId="22">
    <w:abstractNumId w:val="17"/>
  </w:num>
  <w:num w:numId="23">
    <w:abstractNumId w:val="10"/>
  </w:num>
  <w:num w:numId="24">
    <w:abstractNumId w:val="19"/>
  </w:num>
  <w:num w:numId="25">
    <w:abstractNumId w:val="4"/>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AD"/>
    <w:rsid w:val="00011B16"/>
    <w:rsid w:val="00022452"/>
    <w:rsid w:val="00025FB3"/>
    <w:rsid w:val="000262CD"/>
    <w:rsid w:val="00077BF6"/>
    <w:rsid w:val="0008012E"/>
    <w:rsid w:val="00081B2F"/>
    <w:rsid w:val="00084D51"/>
    <w:rsid w:val="000A11CC"/>
    <w:rsid w:val="000A4252"/>
    <w:rsid w:val="000B3E36"/>
    <w:rsid w:val="000E3560"/>
    <w:rsid w:val="000E4D56"/>
    <w:rsid w:val="000E761A"/>
    <w:rsid w:val="001020D8"/>
    <w:rsid w:val="0011610F"/>
    <w:rsid w:val="0013239B"/>
    <w:rsid w:val="00166A85"/>
    <w:rsid w:val="001940CA"/>
    <w:rsid w:val="001D518D"/>
    <w:rsid w:val="002136B9"/>
    <w:rsid w:val="00213C4D"/>
    <w:rsid w:val="0026514F"/>
    <w:rsid w:val="002B02B7"/>
    <w:rsid w:val="002C5E41"/>
    <w:rsid w:val="002D1479"/>
    <w:rsid w:val="002D4AD1"/>
    <w:rsid w:val="002E48EC"/>
    <w:rsid w:val="002E74FA"/>
    <w:rsid w:val="002F2988"/>
    <w:rsid w:val="002F6701"/>
    <w:rsid w:val="00304F70"/>
    <w:rsid w:val="00322AF6"/>
    <w:rsid w:val="0032379A"/>
    <w:rsid w:val="00344AB0"/>
    <w:rsid w:val="00382423"/>
    <w:rsid w:val="00382793"/>
    <w:rsid w:val="003D6F05"/>
    <w:rsid w:val="003E1FB7"/>
    <w:rsid w:val="0040446A"/>
    <w:rsid w:val="00404BF5"/>
    <w:rsid w:val="00425C77"/>
    <w:rsid w:val="00432CAD"/>
    <w:rsid w:val="00484481"/>
    <w:rsid w:val="00492085"/>
    <w:rsid w:val="004952FC"/>
    <w:rsid w:val="00497F04"/>
    <w:rsid w:val="004A3FE6"/>
    <w:rsid w:val="004B42D1"/>
    <w:rsid w:val="004C489D"/>
    <w:rsid w:val="004D7744"/>
    <w:rsid w:val="004D7C58"/>
    <w:rsid w:val="004E63A7"/>
    <w:rsid w:val="004F0448"/>
    <w:rsid w:val="00532D3B"/>
    <w:rsid w:val="0054605D"/>
    <w:rsid w:val="005513ED"/>
    <w:rsid w:val="005761F5"/>
    <w:rsid w:val="005844EB"/>
    <w:rsid w:val="005A50B8"/>
    <w:rsid w:val="005B56F4"/>
    <w:rsid w:val="005C2414"/>
    <w:rsid w:val="005D56CD"/>
    <w:rsid w:val="005E386C"/>
    <w:rsid w:val="005F1981"/>
    <w:rsid w:val="006024E4"/>
    <w:rsid w:val="00603952"/>
    <w:rsid w:val="00623A56"/>
    <w:rsid w:val="00627564"/>
    <w:rsid w:val="00677E28"/>
    <w:rsid w:val="00683461"/>
    <w:rsid w:val="00693954"/>
    <w:rsid w:val="006C22D4"/>
    <w:rsid w:val="006E1DE9"/>
    <w:rsid w:val="006F1FC7"/>
    <w:rsid w:val="00707E27"/>
    <w:rsid w:val="007505FE"/>
    <w:rsid w:val="00751551"/>
    <w:rsid w:val="00777178"/>
    <w:rsid w:val="007B2536"/>
    <w:rsid w:val="007B60E4"/>
    <w:rsid w:val="007C5F65"/>
    <w:rsid w:val="007C6609"/>
    <w:rsid w:val="007D6BFD"/>
    <w:rsid w:val="007E1FF5"/>
    <w:rsid w:val="008108BB"/>
    <w:rsid w:val="00810FD1"/>
    <w:rsid w:val="00824F18"/>
    <w:rsid w:val="00843FED"/>
    <w:rsid w:val="00850245"/>
    <w:rsid w:val="00852040"/>
    <w:rsid w:val="00875E67"/>
    <w:rsid w:val="008A4DC3"/>
    <w:rsid w:val="008C11F5"/>
    <w:rsid w:val="008C2686"/>
    <w:rsid w:val="008D115C"/>
    <w:rsid w:val="008D3717"/>
    <w:rsid w:val="008E6BB9"/>
    <w:rsid w:val="008F6DBC"/>
    <w:rsid w:val="00900559"/>
    <w:rsid w:val="00901934"/>
    <w:rsid w:val="00905897"/>
    <w:rsid w:val="00913877"/>
    <w:rsid w:val="00931DC5"/>
    <w:rsid w:val="00943A8A"/>
    <w:rsid w:val="00964AC9"/>
    <w:rsid w:val="00977A86"/>
    <w:rsid w:val="009B7AA5"/>
    <w:rsid w:val="009B7DA7"/>
    <w:rsid w:val="00A04BA4"/>
    <w:rsid w:val="00A376E5"/>
    <w:rsid w:val="00A514EB"/>
    <w:rsid w:val="00A746EB"/>
    <w:rsid w:val="00A870DF"/>
    <w:rsid w:val="00AB5650"/>
    <w:rsid w:val="00AC5C30"/>
    <w:rsid w:val="00AD36F8"/>
    <w:rsid w:val="00AF4068"/>
    <w:rsid w:val="00B0158B"/>
    <w:rsid w:val="00B12F19"/>
    <w:rsid w:val="00B156C9"/>
    <w:rsid w:val="00B336BB"/>
    <w:rsid w:val="00B509D8"/>
    <w:rsid w:val="00B62089"/>
    <w:rsid w:val="00BA3598"/>
    <w:rsid w:val="00C15D95"/>
    <w:rsid w:val="00C542E4"/>
    <w:rsid w:val="00C666C6"/>
    <w:rsid w:val="00C73438"/>
    <w:rsid w:val="00CA4E21"/>
    <w:rsid w:val="00CB13A8"/>
    <w:rsid w:val="00CB619C"/>
    <w:rsid w:val="00CC078A"/>
    <w:rsid w:val="00D400F7"/>
    <w:rsid w:val="00D42AD6"/>
    <w:rsid w:val="00D568D5"/>
    <w:rsid w:val="00D84D6B"/>
    <w:rsid w:val="00DA2558"/>
    <w:rsid w:val="00DD06D3"/>
    <w:rsid w:val="00DE7515"/>
    <w:rsid w:val="00DF5293"/>
    <w:rsid w:val="00E14118"/>
    <w:rsid w:val="00E20162"/>
    <w:rsid w:val="00E43A35"/>
    <w:rsid w:val="00E444D9"/>
    <w:rsid w:val="00E52E46"/>
    <w:rsid w:val="00E62EFB"/>
    <w:rsid w:val="00E708A2"/>
    <w:rsid w:val="00EC3E7B"/>
    <w:rsid w:val="00EC7C98"/>
    <w:rsid w:val="00ED1501"/>
    <w:rsid w:val="00F0045F"/>
    <w:rsid w:val="00F0214B"/>
    <w:rsid w:val="00F31C0C"/>
    <w:rsid w:val="00F57344"/>
    <w:rsid w:val="00F60E00"/>
    <w:rsid w:val="00F76ED3"/>
    <w:rsid w:val="00FA4717"/>
    <w:rsid w:val="00FA6C57"/>
    <w:rsid w:val="00FB0542"/>
    <w:rsid w:val="00FD08B6"/>
    <w:rsid w:val="00FE5EB6"/>
    <w:rsid w:val="00FF2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AD"/>
    <w:pPr>
      <w:spacing w:before="240" w:after="0" w:line="240" w:lineRule="auto"/>
      <w:jc w:val="both"/>
    </w:pPr>
    <w:rPr>
      <w:rFonts w:ascii="Times New Roman" w:hAnsi="Times New Roman"/>
      <w:sz w:val="24"/>
      <w:szCs w:val="24"/>
    </w:rPr>
  </w:style>
  <w:style w:type="paragraph" w:styleId="Heading1">
    <w:name w:val="heading 1"/>
    <w:basedOn w:val="Normal"/>
    <w:next w:val="Normal"/>
    <w:link w:val="Heading1Char"/>
    <w:qFormat/>
    <w:rsid w:val="004E63A7"/>
    <w:pPr>
      <w:keepNext/>
      <w:spacing w:before="0"/>
      <w:jc w:val="center"/>
      <w:outlineLvl w:val="0"/>
    </w:pPr>
    <w:rPr>
      <w:rFonts w:eastAsia="Times New Roman" w:cs="Times New Roman"/>
      <w:b/>
      <w:bCs/>
      <w:lang w:val="en-US"/>
    </w:rPr>
  </w:style>
  <w:style w:type="paragraph" w:styleId="Heading3">
    <w:name w:val="heading 3"/>
    <w:basedOn w:val="Normal"/>
    <w:next w:val="Normal"/>
    <w:link w:val="Heading3Char"/>
    <w:uiPriority w:val="9"/>
    <w:semiHidden/>
    <w:unhideWhenUsed/>
    <w:qFormat/>
    <w:rsid w:val="004E63A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NAgreementStyle">
    <w:name w:val="EN Agreement Style"/>
    <w:basedOn w:val="NoList"/>
    <w:uiPriority w:val="99"/>
    <w:rsid w:val="00432CAD"/>
    <w:pPr>
      <w:numPr>
        <w:numId w:val="17"/>
      </w:numPr>
    </w:pPr>
  </w:style>
  <w:style w:type="paragraph" w:customStyle="1" w:styleId="ENAgreementL1">
    <w:name w:val="EN Agreement_L1"/>
    <w:basedOn w:val="Normal"/>
    <w:qFormat/>
    <w:rsid w:val="00432CAD"/>
    <w:pPr>
      <w:keepNext/>
      <w:numPr>
        <w:numId w:val="1"/>
      </w:numPr>
      <w:jc w:val="left"/>
    </w:pPr>
    <w:rPr>
      <w:rFonts w:eastAsia="Calibri"/>
      <w:b/>
      <w:caps/>
      <w:sz w:val="20"/>
      <w:lang w:val="en-US"/>
    </w:rPr>
  </w:style>
  <w:style w:type="paragraph" w:customStyle="1" w:styleId="ENAgreementL2">
    <w:name w:val="EN Agreement_L2"/>
    <w:basedOn w:val="ENAgreementL1"/>
    <w:qFormat/>
    <w:rsid w:val="00432CAD"/>
    <w:pPr>
      <w:keepNext w:val="0"/>
      <w:numPr>
        <w:ilvl w:val="1"/>
      </w:numPr>
      <w:spacing w:before="120"/>
      <w:jc w:val="both"/>
    </w:pPr>
    <w:rPr>
      <w:b w:val="0"/>
      <w:caps w:val="0"/>
    </w:rPr>
  </w:style>
  <w:style w:type="paragraph" w:customStyle="1" w:styleId="ENAgreementL3">
    <w:name w:val="EN Agreement_L3"/>
    <w:basedOn w:val="ENAgreementL2"/>
    <w:qFormat/>
    <w:rsid w:val="00432CAD"/>
    <w:pPr>
      <w:numPr>
        <w:ilvl w:val="2"/>
      </w:numPr>
    </w:pPr>
  </w:style>
  <w:style w:type="paragraph" w:customStyle="1" w:styleId="ENAgreementL4">
    <w:name w:val="EN Agreement_L4"/>
    <w:basedOn w:val="ENAgreementL3"/>
    <w:qFormat/>
    <w:rsid w:val="00432CAD"/>
    <w:pPr>
      <w:numPr>
        <w:ilvl w:val="3"/>
      </w:numPr>
    </w:pPr>
  </w:style>
  <w:style w:type="paragraph" w:customStyle="1" w:styleId="ENAgreementL5">
    <w:name w:val="EN Agreement_L5"/>
    <w:basedOn w:val="ENAgreementL4"/>
    <w:qFormat/>
    <w:rsid w:val="00432CAD"/>
    <w:pPr>
      <w:numPr>
        <w:ilvl w:val="4"/>
      </w:numPr>
    </w:pPr>
  </w:style>
  <w:style w:type="paragraph" w:customStyle="1" w:styleId="ENAgreementL6">
    <w:name w:val="EN Agreement_L6"/>
    <w:basedOn w:val="ENAgreementL5"/>
    <w:qFormat/>
    <w:rsid w:val="00432CAD"/>
    <w:pPr>
      <w:numPr>
        <w:ilvl w:val="5"/>
      </w:numPr>
    </w:pPr>
  </w:style>
  <w:style w:type="paragraph" w:customStyle="1" w:styleId="ENAgreementL7">
    <w:name w:val="EN Agreement_L7"/>
    <w:basedOn w:val="Normal"/>
    <w:qFormat/>
    <w:rsid w:val="00432CAD"/>
    <w:pPr>
      <w:numPr>
        <w:ilvl w:val="6"/>
        <w:numId w:val="1"/>
      </w:numPr>
      <w:spacing w:before="120"/>
    </w:pPr>
    <w:rPr>
      <w:sz w:val="20"/>
      <w:lang w:val="en-US"/>
    </w:rPr>
  </w:style>
  <w:style w:type="paragraph" w:customStyle="1" w:styleId="ENAgreementL8">
    <w:name w:val="EN Agreement_L8"/>
    <w:basedOn w:val="ENAgreementL7"/>
    <w:qFormat/>
    <w:rsid w:val="00432CAD"/>
    <w:pPr>
      <w:numPr>
        <w:ilvl w:val="7"/>
      </w:numPr>
    </w:pPr>
  </w:style>
  <w:style w:type="paragraph" w:customStyle="1" w:styleId="ENAgreementL9">
    <w:name w:val="EN Agreement_L9"/>
    <w:basedOn w:val="ENAgreementL8"/>
    <w:qFormat/>
    <w:rsid w:val="00432CAD"/>
    <w:pPr>
      <w:numPr>
        <w:ilvl w:val="8"/>
      </w:numPr>
    </w:pPr>
  </w:style>
  <w:style w:type="paragraph" w:customStyle="1" w:styleId="SKAgreementL1">
    <w:name w:val="SK Agreement_L1"/>
    <w:basedOn w:val="Normal"/>
    <w:qFormat/>
    <w:rsid w:val="00432CAD"/>
    <w:pPr>
      <w:keepNext/>
      <w:numPr>
        <w:numId w:val="3"/>
      </w:numPr>
      <w:jc w:val="left"/>
    </w:pPr>
    <w:rPr>
      <w:rFonts w:eastAsia="Calibri"/>
      <w:b/>
      <w:caps/>
      <w:sz w:val="20"/>
    </w:rPr>
  </w:style>
  <w:style w:type="paragraph" w:customStyle="1" w:styleId="SKAgreementL2">
    <w:name w:val="SK Agreement_L2"/>
    <w:basedOn w:val="SKAgreementL1"/>
    <w:qFormat/>
    <w:rsid w:val="00432CAD"/>
    <w:pPr>
      <w:keepNext w:val="0"/>
      <w:numPr>
        <w:ilvl w:val="1"/>
      </w:numPr>
      <w:spacing w:before="120"/>
      <w:jc w:val="both"/>
    </w:pPr>
    <w:rPr>
      <w:b w:val="0"/>
      <w:caps w:val="0"/>
    </w:rPr>
  </w:style>
  <w:style w:type="paragraph" w:customStyle="1" w:styleId="SKAgreementL3">
    <w:name w:val="SK Agreement_L3"/>
    <w:basedOn w:val="SKAgreementL2"/>
    <w:qFormat/>
    <w:rsid w:val="00432CAD"/>
    <w:pPr>
      <w:numPr>
        <w:ilvl w:val="2"/>
      </w:numPr>
    </w:pPr>
  </w:style>
  <w:style w:type="paragraph" w:customStyle="1" w:styleId="SKAgreementL4">
    <w:name w:val="SK Agreement_L4"/>
    <w:basedOn w:val="SKAgreementL3"/>
    <w:qFormat/>
    <w:rsid w:val="00432CAD"/>
    <w:pPr>
      <w:numPr>
        <w:ilvl w:val="3"/>
      </w:numPr>
    </w:pPr>
  </w:style>
  <w:style w:type="paragraph" w:customStyle="1" w:styleId="SKAgreementL5">
    <w:name w:val="SK Agreement_L5"/>
    <w:basedOn w:val="SKAgreementL4"/>
    <w:qFormat/>
    <w:rsid w:val="00432CAD"/>
    <w:pPr>
      <w:numPr>
        <w:ilvl w:val="4"/>
      </w:numPr>
    </w:pPr>
  </w:style>
  <w:style w:type="paragraph" w:customStyle="1" w:styleId="SKAgreementL6">
    <w:name w:val="SK Agreement_L6"/>
    <w:basedOn w:val="SKAgreementL5"/>
    <w:qFormat/>
    <w:rsid w:val="00432CAD"/>
    <w:pPr>
      <w:numPr>
        <w:ilvl w:val="5"/>
      </w:numPr>
    </w:pPr>
  </w:style>
  <w:style w:type="paragraph" w:customStyle="1" w:styleId="SKAgreementL7">
    <w:name w:val="SK Agreement_L7"/>
    <w:basedOn w:val="Normal"/>
    <w:qFormat/>
    <w:rsid w:val="00432CAD"/>
    <w:pPr>
      <w:numPr>
        <w:ilvl w:val="6"/>
        <w:numId w:val="3"/>
      </w:numPr>
    </w:pPr>
    <w:rPr>
      <w:sz w:val="20"/>
    </w:rPr>
  </w:style>
  <w:style w:type="paragraph" w:customStyle="1" w:styleId="SKAgreementL8">
    <w:name w:val="SK Agreement_L8"/>
    <w:basedOn w:val="SKAgreementL7"/>
    <w:qFormat/>
    <w:rsid w:val="00432CAD"/>
    <w:pPr>
      <w:numPr>
        <w:ilvl w:val="7"/>
      </w:numPr>
    </w:pPr>
  </w:style>
  <w:style w:type="paragraph" w:customStyle="1" w:styleId="SKAgreementL9">
    <w:name w:val="SK Agreement_L9"/>
    <w:basedOn w:val="SKAgreementL8"/>
    <w:qFormat/>
    <w:rsid w:val="00432CAD"/>
    <w:pPr>
      <w:numPr>
        <w:ilvl w:val="8"/>
      </w:numPr>
    </w:pPr>
  </w:style>
  <w:style w:type="numbering" w:customStyle="1" w:styleId="SKAgreementStyle">
    <w:name w:val="SK Agreement_Style"/>
    <w:basedOn w:val="NoList"/>
    <w:uiPriority w:val="99"/>
    <w:rsid w:val="00432CAD"/>
    <w:pPr>
      <w:numPr>
        <w:numId w:val="14"/>
      </w:numPr>
    </w:pPr>
  </w:style>
  <w:style w:type="table" w:styleId="TableGrid">
    <w:name w:val="Table Grid"/>
    <w:basedOn w:val="TableNormal"/>
    <w:uiPriority w:val="59"/>
    <w:rsid w:val="00432C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2CAD"/>
    <w:pPr>
      <w:tabs>
        <w:tab w:val="center" w:pos="4703"/>
        <w:tab w:val="right" w:pos="9406"/>
      </w:tabs>
      <w:spacing w:before="0"/>
    </w:pPr>
  </w:style>
  <w:style w:type="character" w:customStyle="1" w:styleId="HeaderChar">
    <w:name w:val="Header Char"/>
    <w:basedOn w:val="DefaultParagraphFont"/>
    <w:link w:val="Header"/>
    <w:rsid w:val="00432CAD"/>
    <w:rPr>
      <w:rFonts w:ascii="Times New Roman" w:hAnsi="Times New Roman"/>
      <w:sz w:val="24"/>
      <w:szCs w:val="24"/>
    </w:rPr>
  </w:style>
  <w:style w:type="paragraph" w:styleId="Footer">
    <w:name w:val="footer"/>
    <w:basedOn w:val="Normal"/>
    <w:link w:val="FooterChar"/>
    <w:uiPriority w:val="99"/>
    <w:unhideWhenUsed/>
    <w:rsid w:val="00432CAD"/>
    <w:pPr>
      <w:tabs>
        <w:tab w:val="center" w:pos="4703"/>
        <w:tab w:val="right" w:pos="9406"/>
      </w:tabs>
      <w:spacing w:before="0"/>
    </w:pPr>
  </w:style>
  <w:style w:type="character" w:customStyle="1" w:styleId="FooterChar">
    <w:name w:val="Footer Char"/>
    <w:basedOn w:val="DefaultParagraphFont"/>
    <w:link w:val="Footer"/>
    <w:uiPriority w:val="99"/>
    <w:rsid w:val="00432CAD"/>
    <w:rPr>
      <w:rFonts w:ascii="Times New Roman" w:hAnsi="Times New Roman"/>
      <w:sz w:val="24"/>
      <w:szCs w:val="24"/>
    </w:rPr>
  </w:style>
  <w:style w:type="paragraph" w:customStyle="1" w:styleId="SLnormal">
    <w:name w:val="SL_normal"/>
    <w:rsid w:val="00432CAD"/>
    <w:pPr>
      <w:spacing w:before="120" w:after="0" w:line="240" w:lineRule="auto"/>
      <w:jc w:val="both"/>
    </w:pPr>
    <w:rPr>
      <w:rFonts w:ascii="Times New Roman" w:eastAsia="Times New Roman" w:hAnsi="Times New Roman" w:cs="Times New Roman"/>
      <w:sz w:val="24"/>
      <w:szCs w:val="20"/>
      <w:lang w:val="en-US" w:eastAsia="cs-CZ"/>
    </w:rPr>
  </w:style>
  <w:style w:type="character" w:styleId="CommentReference">
    <w:name w:val="annotation reference"/>
    <w:basedOn w:val="DefaultParagraphFont"/>
    <w:uiPriority w:val="99"/>
    <w:semiHidden/>
    <w:unhideWhenUsed/>
    <w:rsid w:val="00432CAD"/>
    <w:rPr>
      <w:sz w:val="16"/>
      <w:szCs w:val="16"/>
    </w:rPr>
  </w:style>
  <w:style w:type="paragraph" w:styleId="CommentText">
    <w:name w:val="annotation text"/>
    <w:basedOn w:val="Normal"/>
    <w:link w:val="CommentTextChar"/>
    <w:uiPriority w:val="99"/>
    <w:semiHidden/>
    <w:unhideWhenUsed/>
    <w:rsid w:val="00432CAD"/>
    <w:rPr>
      <w:sz w:val="20"/>
      <w:szCs w:val="20"/>
    </w:rPr>
  </w:style>
  <w:style w:type="character" w:customStyle="1" w:styleId="CommentTextChar">
    <w:name w:val="Comment Text Char"/>
    <w:basedOn w:val="DefaultParagraphFont"/>
    <w:link w:val="CommentText"/>
    <w:uiPriority w:val="99"/>
    <w:semiHidden/>
    <w:rsid w:val="00432CAD"/>
    <w:rPr>
      <w:rFonts w:ascii="Times New Roman" w:hAnsi="Times New Roman"/>
      <w:sz w:val="20"/>
      <w:szCs w:val="20"/>
    </w:rPr>
  </w:style>
  <w:style w:type="paragraph" w:styleId="ListParagraph">
    <w:name w:val="List Paragraph"/>
    <w:basedOn w:val="Normal"/>
    <w:uiPriority w:val="34"/>
    <w:qFormat/>
    <w:rsid w:val="00432CAD"/>
    <w:pPr>
      <w:ind w:left="720"/>
      <w:contextualSpacing/>
    </w:pPr>
  </w:style>
  <w:style w:type="paragraph" w:styleId="BlockText">
    <w:name w:val="Block Text"/>
    <w:basedOn w:val="Normal"/>
    <w:unhideWhenUsed/>
    <w:rsid w:val="00432CAD"/>
    <w:pPr>
      <w:spacing w:before="0"/>
      <w:ind w:left="2700" w:right="-14"/>
    </w:pPr>
    <w:rPr>
      <w:rFonts w:ascii="Arial" w:eastAsia="Times New Roman" w:hAnsi="Arial" w:cs="Times New Roman"/>
      <w:spacing w:val="-5"/>
      <w:sz w:val="22"/>
      <w:szCs w:val="20"/>
      <w:lang w:eastAsia="cs-CZ"/>
    </w:rPr>
  </w:style>
  <w:style w:type="table" w:customStyle="1" w:styleId="Obyajntabuka21">
    <w:name w:val="Obyčajná tabuľka 21"/>
    <w:basedOn w:val="TableNormal"/>
    <w:uiPriority w:val="42"/>
    <w:rsid w:val="00432C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32CA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3438"/>
    <w:rPr>
      <w:b/>
      <w:bCs/>
    </w:rPr>
  </w:style>
  <w:style w:type="character" w:customStyle="1" w:styleId="CommentSubjectChar">
    <w:name w:val="Comment Subject Char"/>
    <w:basedOn w:val="CommentTextChar"/>
    <w:link w:val="CommentSubject"/>
    <w:uiPriority w:val="99"/>
    <w:semiHidden/>
    <w:rsid w:val="00C73438"/>
    <w:rPr>
      <w:rFonts w:ascii="Times New Roman" w:hAnsi="Times New Roman"/>
      <w:b/>
      <w:bCs/>
      <w:sz w:val="20"/>
      <w:szCs w:val="20"/>
    </w:rPr>
  </w:style>
  <w:style w:type="character" w:customStyle="1" w:styleId="ra">
    <w:name w:val="ra"/>
    <w:basedOn w:val="DefaultParagraphFont"/>
    <w:rsid w:val="00382793"/>
  </w:style>
  <w:style w:type="character" w:customStyle="1" w:styleId="Heading1Char">
    <w:name w:val="Heading 1 Char"/>
    <w:basedOn w:val="DefaultParagraphFont"/>
    <w:link w:val="Heading1"/>
    <w:rsid w:val="004E63A7"/>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4E63A7"/>
    <w:pPr>
      <w:spacing w:before="0" w:line="360" w:lineRule="auto"/>
    </w:pPr>
    <w:rPr>
      <w:rFonts w:eastAsia="Times New Roman" w:cs="Times New Roman"/>
      <w:sz w:val="22"/>
      <w:lang w:val="en-US"/>
    </w:rPr>
  </w:style>
  <w:style w:type="character" w:customStyle="1" w:styleId="BodyText2Char">
    <w:name w:val="Body Text 2 Char"/>
    <w:basedOn w:val="DefaultParagraphFont"/>
    <w:link w:val="BodyText2"/>
    <w:semiHidden/>
    <w:rsid w:val="004E63A7"/>
    <w:rPr>
      <w:rFonts w:ascii="Times New Roman" w:eastAsia="Times New Roman" w:hAnsi="Times New Roman" w:cs="Times New Roman"/>
      <w:szCs w:val="24"/>
      <w:lang w:val="en-US"/>
    </w:rPr>
  </w:style>
  <w:style w:type="paragraph" w:styleId="BodyText">
    <w:name w:val="Body Text"/>
    <w:basedOn w:val="Normal"/>
    <w:link w:val="BodyTextChar"/>
    <w:semiHidden/>
    <w:rsid w:val="004E63A7"/>
    <w:pPr>
      <w:spacing w:before="0" w:line="360" w:lineRule="auto"/>
    </w:pPr>
    <w:rPr>
      <w:rFonts w:eastAsia="Times New Roman" w:cs="Times New Roman"/>
      <w:lang w:val="en-US"/>
    </w:rPr>
  </w:style>
  <w:style w:type="character" w:customStyle="1" w:styleId="BodyTextChar">
    <w:name w:val="Body Text Char"/>
    <w:basedOn w:val="DefaultParagraphFont"/>
    <w:link w:val="BodyText"/>
    <w:semiHidden/>
    <w:rsid w:val="004E63A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4E63A7"/>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4E63A7"/>
    <w:pPr>
      <w:spacing w:after="120"/>
      <w:ind w:left="283"/>
    </w:pPr>
  </w:style>
  <w:style w:type="character" w:customStyle="1" w:styleId="BodyTextIndentChar">
    <w:name w:val="Body Text Indent Char"/>
    <w:basedOn w:val="DefaultParagraphFont"/>
    <w:link w:val="BodyTextIndent"/>
    <w:uiPriority w:val="99"/>
    <w:semiHidden/>
    <w:rsid w:val="004E63A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AD"/>
    <w:pPr>
      <w:spacing w:before="240" w:after="0" w:line="240" w:lineRule="auto"/>
      <w:jc w:val="both"/>
    </w:pPr>
    <w:rPr>
      <w:rFonts w:ascii="Times New Roman" w:hAnsi="Times New Roman"/>
      <w:sz w:val="24"/>
      <w:szCs w:val="24"/>
    </w:rPr>
  </w:style>
  <w:style w:type="paragraph" w:styleId="Heading1">
    <w:name w:val="heading 1"/>
    <w:basedOn w:val="Normal"/>
    <w:next w:val="Normal"/>
    <w:link w:val="Heading1Char"/>
    <w:qFormat/>
    <w:rsid w:val="004E63A7"/>
    <w:pPr>
      <w:keepNext/>
      <w:spacing w:before="0"/>
      <w:jc w:val="center"/>
      <w:outlineLvl w:val="0"/>
    </w:pPr>
    <w:rPr>
      <w:rFonts w:eastAsia="Times New Roman" w:cs="Times New Roman"/>
      <w:b/>
      <w:bCs/>
      <w:lang w:val="en-US"/>
    </w:rPr>
  </w:style>
  <w:style w:type="paragraph" w:styleId="Heading3">
    <w:name w:val="heading 3"/>
    <w:basedOn w:val="Normal"/>
    <w:next w:val="Normal"/>
    <w:link w:val="Heading3Char"/>
    <w:uiPriority w:val="9"/>
    <w:semiHidden/>
    <w:unhideWhenUsed/>
    <w:qFormat/>
    <w:rsid w:val="004E63A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NAgreementStyle">
    <w:name w:val="EN Agreement Style"/>
    <w:basedOn w:val="NoList"/>
    <w:uiPriority w:val="99"/>
    <w:rsid w:val="00432CAD"/>
    <w:pPr>
      <w:numPr>
        <w:numId w:val="17"/>
      </w:numPr>
    </w:pPr>
  </w:style>
  <w:style w:type="paragraph" w:customStyle="1" w:styleId="ENAgreementL1">
    <w:name w:val="EN Agreement_L1"/>
    <w:basedOn w:val="Normal"/>
    <w:qFormat/>
    <w:rsid w:val="00432CAD"/>
    <w:pPr>
      <w:keepNext/>
      <w:numPr>
        <w:numId w:val="1"/>
      </w:numPr>
      <w:jc w:val="left"/>
    </w:pPr>
    <w:rPr>
      <w:rFonts w:eastAsia="Calibri"/>
      <w:b/>
      <w:caps/>
      <w:sz w:val="20"/>
      <w:lang w:val="en-US"/>
    </w:rPr>
  </w:style>
  <w:style w:type="paragraph" w:customStyle="1" w:styleId="ENAgreementL2">
    <w:name w:val="EN Agreement_L2"/>
    <w:basedOn w:val="ENAgreementL1"/>
    <w:qFormat/>
    <w:rsid w:val="00432CAD"/>
    <w:pPr>
      <w:keepNext w:val="0"/>
      <w:numPr>
        <w:ilvl w:val="1"/>
      </w:numPr>
      <w:spacing w:before="120"/>
      <w:jc w:val="both"/>
    </w:pPr>
    <w:rPr>
      <w:b w:val="0"/>
      <w:caps w:val="0"/>
    </w:rPr>
  </w:style>
  <w:style w:type="paragraph" w:customStyle="1" w:styleId="ENAgreementL3">
    <w:name w:val="EN Agreement_L3"/>
    <w:basedOn w:val="ENAgreementL2"/>
    <w:qFormat/>
    <w:rsid w:val="00432CAD"/>
    <w:pPr>
      <w:numPr>
        <w:ilvl w:val="2"/>
      </w:numPr>
    </w:pPr>
  </w:style>
  <w:style w:type="paragraph" w:customStyle="1" w:styleId="ENAgreementL4">
    <w:name w:val="EN Agreement_L4"/>
    <w:basedOn w:val="ENAgreementL3"/>
    <w:qFormat/>
    <w:rsid w:val="00432CAD"/>
    <w:pPr>
      <w:numPr>
        <w:ilvl w:val="3"/>
      </w:numPr>
    </w:pPr>
  </w:style>
  <w:style w:type="paragraph" w:customStyle="1" w:styleId="ENAgreementL5">
    <w:name w:val="EN Agreement_L5"/>
    <w:basedOn w:val="ENAgreementL4"/>
    <w:qFormat/>
    <w:rsid w:val="00432CAD"/>
    <w:pPr>
      <w:numPr>
        <w:ilvl w:val="4"/>
      </w:numPr>
    </w:pPr>
  </w:style>
  <w:style w:type="paragraph" w:customStyle="1" w:styleId="ENAgreementL6">
    <w:name w:val="EN Agreement_L6"/>
    <w:basedOn w:val="ENAgreementL5"/>
    <w:qFormat/>
    <w:rsid w:val="00432CAD"/>
    <w:pPr>
      <w:numPr>
        <w:ilvl w:val="5"/>
      </w:numPr>
    </w:pPr>
  </w:style>
  <w:style w:type="paragraph" w:customStyle="1" w:styleId="ENAgreementL7">
    <w:name w:val="EN Agreement_L7"/>
    <w:basedOn w:val="Normal"/>
    <w:qFormat/>
    <w:rsid w:val="00432CAD"/>
    <w:pPr>
      <w:numPr>
        <w:ilvl w:val="6"/>
        <w:numId w:val="1"/>
      </w:numPr>
      <w:spacing w:before="120"/>
    </w:pPr>
    <w:rPr>
      <w:sz w:val="20"/>
      <w:lang w:val="en-US"/>
    </w:rPr>
  </w:style>
  <w:style w:type="paragraph" w:customStyle="1" w:styleId="ENAgreementL8">
    <w:name w:val="EN Agreement_L8"/>
    <w:basedOn w:val="ENAgreementL7"/>
    <w:qFormat/>
    <w:rsid w:val="00432CAD"/>
    <w:pPr>
      <w:numPr>
        <w:ilvl w:val="7"/>
      </w:numPr>
    </w:pPr>
  </w:style>
  <w:style w:type="paragraph" w:customStyle="1" w:styleId="ENAgreementL9">
    <w:name w:val="EN Agreement_L9"/>
    <w:basedOn w:val="ENAgreementL8"/>
    <w:qFormat/>
    <w:rsid w:val="00432CAD"/>
    <w:pPr>
      <w:numPr>
        <w:ilvl w:val="8"/>
      </w:numPr>
    </w:pPr>
  </w:style>
  <w:style w:type="paragraph" w:customStyle="1" w:styleId="SKAgreementL1">
    <w:name w:val="SK Agreement_L1"/>
    <w:basedOn w:val="Normal"/>
    <w:qFormat/>
    <w:rsid w:val="00432CAD"/>
    <w:pPr>
      <w:keepNext/>
      <w:numPr>
        <w:numId w:val="3"/>
      </w:numPr>
      <w:jc w:val="left"/>
    </w:pPr>
    <w:rPr>
      <w:rFonts w:eastAsia="Calibri"/>
      <w:b/>
      <w:caps/>
      <w:sz w:val="20"/>
    </w:rPr>
  </w:style>
  <w:style w:type="paragraph" w:customStyle="1" w:styleId="SKAgreementL2">
    <w:name w:val="SK Agreement_L2"/>
    <w:basedOn w:val="SKAgreementL1"/>
    <w:qFormat/>
    <w:rsid w:val="00432CAD"/>
    <w:pPr>
      <w:keepNext w:val="0"/>
      <w:numPr>
        <w:ilvl w:val="1"/>
      </w:numPr>
      <w:spacing w:before="120"/>
      <w:jc w:val="both"/>
    </w:pPr>
    <w:rPr>
      <w:b w:val="0"/>
      <w:caps w:val="0"/>
    </w:rPr>
  </w:style>
  <w:style w:type="paragraph" w:customStyle="1" w:styleId="SKAgreementL3">
    <w:name w:val="SK Agreement_L3"/>
    <w:basedOn w:val="SKAgreementL2"/>
    <w:qFormat/>
    <w:rsid w:val="00432CAD"/>
    <w:pPr>
      <w:numPr>
        <w:ilvl w:val="2"/>
      </w:numPr>
    </w:pPr>
  </w:style>
  <w:style w:type="paragraph" w:customStyle="1" w:styleId="SKAgreementL4">
    <w:name w:val="SK Agreement_L4"/>
    <w:basedOn w:val="SKAgreementL3"/>
    <w:qFormat/>
    <w:rsid w:val="00432CAD"/>
    <w:pPr>
      <w:numPr>
        <w:ilvl w:val="3"/>
      </w:numPr>
    </w:pPr>
  </w:style>
  <w:style w:type="paragraph" w:customStyle="1" w:styleId="SKAgreementL5">
    <w:name w:val="SK Agreement_L5"/>
    <w:basedOn w:val="SKAgreementL4"/>
    <w:qFormat/>
    <w:rsid w:val="00432CAD"/>
    <w:pPr>
      <w:numPr>
        <w:ilvl w:val="4"/>
      </w:numPr>
    </w:pPr>
  </w:style>
  <w:style w:type="paragraph" w:customStyle="1" w:styleId="SKAgreementL6">
    <w:name w:val="SK Agreement_L6"/>
    <w:basedOn w:val="SKAgreementL5"/>
    <w:qFormat/>
    <w:rsid w:val="00432CAD"/>
    <w:pPr>
      <w:numPr>
        <w:ilvl w:val="5"/>
      </w:numPr>
    </w:pPr>
  </w:style>
  <w:style w:type="paragraph" w:customStyle="1" w:styleId="SKAgreementL7">
    <w:name w:val="SK Agreement_L7"/>
    <w:basedOn w:val="Normal"/>
    <w:qFormat/>
    <w:rsid w:val="00432CAD"/>
    <w:pPr>
      <w:numPr>
        <w:ilvl w:val="6"/>
        <w:numId w:val="3"/>
      </w:numPr>
    </w:pPr>
    <w:rPr>
      <w:sz w:val="20"/>
    </w:rPr>
  </w:style>
  <w:style w:type="paragraph" w:customStyle="1" w:styleId="SKAgreementL8">
    <w:name w:val="SK Agreement_L8"/>
    <w:basedOn w:val="SKAgreementL7"/>
    <w:qFormat/>
    <w:rsid w:val="00432CAD"/>
    <w:pPr>
      <w:numPr>
        <w:ilvl w:val="7"/>
      </w:numPr>
    </w:pPr>
  </w:style>
  <w:style w:type="paragraph" w:customStyle="1" w:styleId="SKAgreementL9">
    <w:name w:val="SK Agreement_L9"/>
    <w:basedOn w:val="SKAgreementL8"/>
    <w:qFormat/>
    <w:rsid w:val="00432CAD"/>
    <w:pPr>
      <w:numPr>
        <w:ilvl w:val="8"/>
      </w:numPr>
    </w:pPr>
  </w:style>
  <w:style w:type="numbering" w:customStyle="1" w:styleId="SKAgreementStyle">
    <w:name w:val="SK Agreement_Style"/>
    <w:basedOn w:val="NoList"/>
    <w:uiPriority w:val="99"/>
    <w:rsid w:val="00432CAD"/>
    <w:pPr>
      <w:numPr>
        <w:numId w:val="14"/>
      </w:numPr>
    </w:pPr>
  </w:style>
  <w:style w:type="table" w:styleId="TableGrid">
    <w:name w:val="Table Grid"/>
    <w:basedOn w:val="TableNormal"/>
    <w:uiPriority w:val="59"/>
    <w:rsid w:val="00432C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2CAD"/>
    <w:pPr>
      <w:tabs>
        <w:tab w:val="center" w:pos="4703"/>
        <w:tab w:val="right" w:pos="9406"/>
      </w:tabs>
      <w:spacing w:before="0"/>
    </w:pPr>
  </w:style>
  <w:style w:type="character" w:customStyle="1" w:styleId="HeaderChar">
    <w:name w:val="Header Char"/>
    <w:basedOn w:val="DefaultParagraphFont"/>
    <w:link w:val="Header"/>
    <w:rsid w:val="00432CAD"/>
    <w:rPr>
      <w:rFonts w:ascii="Times New Roman" w:hAnsi="Times New Roman"/>
      <w:sz w:val="24"/>
      <w:szCs w:val="24"/>
    </w:rPr>
  </w:style>
  <w:style w:type="paragraph" w:styleId="Footer">
    <w:name w:val="footer"/>
    <w:basedOn w:val="Normal"/>
    <w:link w:val="FooterChar"/>
    <w:uiPriority w:val="99"/>
    <w:unhideWhenUsed/>
    <w:rsid w:val="00432CAD"/>
    <w:pPr>
      <w:tabs>
        <w:tab w:val="center" w:pos="4703"/>
        <w:tab w:val="right" w:pos="9406"/>
      </w:tabs>
      <w:spacing w:before="0"/>
    </w:pPr>
  </w:style>
  <w:style w:type="character" w:customStyle="1" w:styleId="FooterChar">
    <w:name w:val="Footer Char"/>
    <w:basedOn w:val="DefaultParagraphFont"/>
    <w:link w:val="Footer"/>
    <w:uiPriority w:val="99"/>
    <w:rsid w:val="00432CAD"/>
    <w:rPr>
      <w:rFonts w:ascii="Times New Roman" w:hAnsi="Times New Roman"/>
      <w:sz w:val="24"/>
      <w:szCs w:val="24"/>
    </w:rPr>
  </w:style>
  <w:style w:type="paragraph" w:customStyle="1" w:styleId="SLnormal">
    <w:name w:val="SL_normal"/>
    <w:rsid w:val="00432CAD"/>
    <w:pPr>
      <w:spacing w:before="120" w:after="0" w:line="240" w:lineRule="auto"/>
      <w:jc w:val="both"/>
    </w:pPr>
    <w:rPr>
      <w:rFonts w:ascii="Times New Roman" w:eastAsia="Times New Roman" w:hAnsi="Times New Roman" w:cs="Times New Roman"/>
      <w:sz w:val="24"/>
      <w:szCs w:val="20"/>
      <w:lang w:val="en-US" w:eastAsia="cs-CZ"/>
    </w:rPr>
  </w:style>
  <w:style w:type="character" w:styleId="CommentReference">
    <w:name w:val="annotation reference"/>
    <w:basedOn w:val="DefaultParagraphFont"/>
    <w:uiPriority w:val="99"/>
    <w:semiHidden/>
    <w:unhideWhenUsed/>
    <w:rsid w:val="00432CAD"/>
    <w:rPr>
      <w:sz w:val="16"/>
      <w:szCs w:val="16"/>
    </w:rPr>
  </w:style>
  <w:style w:type="paragraph" w:styleId="CommentText">
    <w:name w:val="annotation text"/>
    <w:basedOn w:val="Normal"/>
    <w:link w:val="CommentTextChar"/>
    <w:uiPriority w:val="99"/>
    <w:semiHidden/>
    <w:unhideWhenUsed/>
    <w:rsid w:val="00432CAD"/>
    <w:rPr>
      <w:sz w:val="20"/>
      <w:szCs w:val="20"/>
    </w:rPr>
  </w:style>
  <w:style w:type="character" w:customStyle="1" w:styleId="CommentTextChar">
    <w:name w:val="Comment Text Char"/>
    <w:basedOn w:val="DefaultParagraphFont"/>
    <w:link w:val="CommentText"/>
    <w:uiPriority w:val="99"/>
    <w:semiHidden/>
    <w:rsid w:val="00432CAD"/>
    <w:rPr>
      <w:rFonts w:ascii="Times New Roman" w:hAnsi="Times New Roman"/>
      <w:sz w:val="20"/>
      <w:szCs w:val="20"/>
    </w:rPr>
  </w:style>
  <w:style w:type="paragraph" w:styleId="ListParagraph">
    <w:name w:val="List Paragraph"/>
    <w:basedOn w:val="Normal"/>
    <w:uiPriority w:val="34"/>
    <w:qFormat/>
    <w:rsid w:val="00432CAD"/>
    <w:pPr>
      <w:ind w:left="720"/>
      <w:contextualSpacing/>
    </w:pPr>
  </w:style>
  <w:style w:type="paragraph" w:styleId="BlockText">
    <w:name w:val="Block Text"/>
    <w:basedOn w:val="Normal"/>
    <w:unhideWhenUsed/>
    <w:rsid w:val="00432CAD"/>
    <w:pPr>
      <w:spacing w:before="0"/>
      <w:ind w:left="2700" w:right="-14"/>
    </w:pPr>
    <w:rPr>
      <w:rFonts w:ascii="Arial" w:eastAsia="Times New Roman" w:hAnsi="Arial" w:cs="Times New Roman"/>
      <w:spacing w:val="-5"/>
      <w:sz w:val="22"/>
      <w:szCs w:val="20"/>
      <w:lang w:eastAsia="cs-CZ"/>
    </w:rPr>
  </w:style>
  <w:style w:type="table" w:customStyle="1" w:styleId="Obyajntabuka21">
    <w:name w:val="Obyčajná tabuľka 21"/>
    <w:basedOn w:val="TableNormal"/>
    <w:uiPriority w:val="42"/>
    <w:rsid w:val="00432C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32CA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3438"/>
    <w:rPr>
      <w:b/>
      <w:bCs/>
    </w:rPr>
  </w:style>
  <w:style w:type="character" w:customStyle="1" w:styleId="CommentSubjectChar">
    <w:name w:val="Comment Subject Char"/>
    <w:basedOn w:val="CommentTextChar"/>
    <w:link w:val="CommentSubject"/>
    <w:uiPriority w:val="99"/>
    <w:semiHidden/>
    <w:rsid w:val="00C73438"/>
    <w:rPr>
      <w:rFonts w:ascii="Times New Roman" w:hAnsi="Times New Roman"/>
      <w:b/>
      <w:bCs/>
      <w:sz w:val="20"/>
      <w:szCs w:val="20"/>
    </w:rPr>
  </w:style>
  <w:style w:type="character" w:customStyle="1" w:styleId="ra">
    <w:name w:val="ra"/>
    <w:basedOn w:val="DefaultParagraphFont"/>
    <w:rsid w:val="00382793"/>
  </w:style>
  <w:style w:type="character" w:customStyle="1" w:styleId="Heading1Char">
    <w:name w:val="Heading 1 Char"/>
    <w:basedOn w:val="DefaultParagraphFont"/>
    <w:link w:val="Heading1"/>
    <w:rsid w:val="004E63A7"/>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4E63A7"/>
    <w:pPr>
      <w:spacing w:before="0" w:line="360" w:lineRule="auto"/>
    </w:pPr>
    <w:rPr>
      <w:rFonts w:eastAsia="Times New Roman" w:cs="Times New Roman"/>
      <w:sz w:val="22"/>
      <w:lang w:val="en-US"/>
    </w:rPr>
  </w:style>
  <w:style w:type="character" w:customStyle="1" w:styleId="BodyText2Char">
    <w:name w:val="Body Text 2 Char"/>
    <w:basedOn w:val="DefaultParagraphFont"/>
    <w:link w:val="BodyText2"/>
    <w:semiHidden/>
    <w:rsid w:val="004E63A7"/>
    <w:rPr>
      <w:rFonts w:ascii="Times New Roman" w:eastAsia="Times New Roman" w:hAnsi="Times New Roman" w:cs="Times New Roman"/>
      <w:szCs w:val="24"/>
      <w:lang w:val="en-US"/>
    </w:rPr>
  </w:style>
  <w:style w:type="paragraph" w:styleId="BodyText">
    <w:name w:val="Body Text"/>
    <w:basedOn w:val="Normal"/>
    <w:link w:val="BodyTextChar"/>
    <w:semiHidden/>
    <w:rsid w:val="004E63A7"/>
    <w:pPr>
      <w:spacing w:before="0" w:line="360" w:lineRule="auto"/>
    </w:pPr>
    <w:rPr>
      <w:rFonts w:eastAsia="Times New Roman" w:cs="Times New Roman"/>
      <w:lang w:val="en-US"/>
    </w:rPr>
  </w:style>
  <w:style w:type="character" w:customStyle="1" w:styleId="BodyTextChar">
    <w:name w:val="Body Text Char"/>
    <w:basedOn w:val="DefaultParagraphFont"/>
    <w:link w:val="BodyText"/>
    <w:semiHidden/>
    <w:rsid w:val="004E63A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4E63A7"/>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4E63A7"/>
    <w:pPr>
      <w:spacing w:after="120"/>
      <w:ind w:left="283"/>
    </w:pPr>
  </w:style>
  <w:style w:type="character" w:customStyle="1" w:styleId="BodyTextIndentChar">
    <w:name w:val="Body Text Indent Char"/>
    <w:basedOn w:val="DefaultParagraphFont"/>
    <w:link w:val="BodyTextIndent"/>
    <w:uiPriority w:val="99"/>
    <w:semiHidden/>
    <w:rsid w:val="004E63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6C4A-6481-4679-A2BC-0164414F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8712</Words>
  <Characters>49660</Characters>
  <Application>Microsoft Office Word</Application>
  <DocSecurity>0</DocSecurity>
  <Lines>413</Lines>
  <Paragraphs>116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58256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Packova</dc:creator>
  <cp:lastModifiedBy>Lubomira Adlerova</cp:lastModifiedBy>
  <cp:revision>2</cp:revision>
  <cp:lastPrinted>2018-11-06T13:15:00Z</cp:lastPrinted>
  <dcterms:created xsi:type="dcterms:W3CDTF">2018-11-12T19:44:00Z</dcterms:created>
  <dcterms:modified xsi:type="dcterms:W3CDTF">2018-11-12T19:44:00Z</dcterms:modified>
</cp:coreProperties>
</file>